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119401135" w:displacedByCustomXml="next"/>
    <w:bookmarkEnd w:id="1" w:displacedByCustomXml="next"/>
    <w:sdt>
      <w:sdtPr>
        <w:rPr>
          <w:rFonts w:asciiTheme="minorHAnsi" w:eastAsiaTheme="minorHAnsi" w:hAnsiTheme="minorHAnsi" w:cstheme="minorBidi"/>
          <w:color w:val="4472C4" w:themeColor="accent1"/>
          <w:sz w:val="22"/>
          <w:szCs w:val="22"/>
          <w:lang w:eastAsia="en-US"/>
        </w:rPr>
        <w:id w:val="-356580565"/>
        <w:docPartObj>
          <w:docPartGallery w:val="Cover Pages"/>
          <w:docPartUnique/>
        </w:docPartObj>
      </w:sdtPr>
      <w:sdtEndPr>
        <w:rPr>
          <w:rFonts w:ascii="Georgia" w:hAnsi="Georgia" w:cs="Times New Roman"/>
          <w:b/>
          <w:bCs/>
          <w:color w:val="auto"/>
          <w:sz w:val="24"/>
          <w:szCs w:val="24"/>
        </w:rPr>
      </w:sdtEndPr>
      <w:sdtContent>
        <w:p w14:paraId="64D71366" w14:textId="39319E49" w:rsidR="0035351E" w:rsidRPr="00B46CAE" w:rsidRDefault="0035351E" w:rsidP="00DB529F">
          <w:pPr>
            <w:pStyle w:val="Tartalomjegyzkcmsora"/>
            <w:spacing w:line="240" w:lineRule="auto"/>
            <w:rPr>
              <w:rFonts w:ascii="Georgia" w:eastAsiaTheme="minorHAnsi" w:hAnsi="Georgia" w:cs="Times New Roman"/>
              <w:caps/>
              <w:color w:val="auto"/>
              <w:sz w:val="28"/>
              <w:szCs w:val="28"/>
              <w:lang w:eastAsia="en-US"/>
            </w:rPr>
          </w:pPr>
        </w:p>
        <w:p w14:paraId="2A100D1E" w14:textId="77777777" w:rsidR="0035351E" w:rsidRPr="00B46CAE" w:rsidRDefault="0035351E" w:rsidP="0035351E">
          <w:pPr>
            <w:jc w:val="center"/>
            <w:rPr>
              <w:rFonts w:ascii="Georgia" w:hAnsi="Georgia" w:cs="Times New Roman"/>
              <w:sz w:val="24"/>
              <w:szCs w:val="24"/>
            </w:rPr>
          </w:pPr>
        </w:p>
        <w:p w14:paraId="44D4024D" w14:textId="77777777" w:rsidR="0035351E" w:rsidRPr="00B46CAE" w:rsidRDefault="0035351E" w:rsidP="0035351E">
          <w:pPr>
            <w:jc w:val="center"/>
            <w:rPr>
              <w:rFonts w:ascii="Georgia" w:hAnsi="Georgia" w:cs="Times New Roman"/>
              <w:sz w:val="36"/>
              <w:szCs w:val="36"/>
            </w:rPr>
          </w:pPr>
          <w:r w:rsidRPr="00B46CAE">
            <w:rPr>
              <w:rFonts w:ascii="Georgia" w:hAnsi="Georgia" w:cs="Times New Roman"/>
              <w:sz w:val="36"/>
              <w:szCs w:val="36"/>
            </w:rPr>
            <w:br/>
          </w:r>
        </w:p>
        <w:p w14:paraId="1435B6F9" w14:textId="77777777" w:rsidR="00DB529F" w:rsidRPr="00DB529F" w:rsidRDefault="00DB529F" w:rsidP="0035351E">
          <w:pPr>
            <w:spacing w:after="0"/>
            <w:jc w:val="center"/>
            <w:rPr>
              <w:rFonts w:ascii="Georgia" w:hAnsi="Georgia" w:cs="Times New Roman"/>
              <w:b/>
              <w:bCs/>
              <w:spacing w:val="20"/>
              <w:sz w:val="40"/>
              <w:szCs w:val="40"/>
            </w:rPr>
          </w:pPr>
          <w:r w:rsidRPr="00DB529F">
            <w:rPr>
              <w:rFonts w:ascii="Georgia" w:hAnsi="Georgia" w:cs="Times New Roman"/>
              <w:sz w:val="40"/>
              <w:szCs w:val="40"/>
            </w:rPr>
            <w:t>Mayer Rita-Reizingerné dr. Ducsai Anita</w:t>
          </w:r>
          <w:r w:rsidRPr="00DB529F">
            <w:rPr>
              <w:rFonts w:ascii="Georgia" w:hAnsi="Georgia" w:cs="Times New Roman"/>
              <w:b/>
              <w:bCs/>
              <w:spacing w:val="20"/>
              <w:sz w:val="40"/>
              <w:szCs w:val="40"/>
            </w:rPr>
            <w:t xml:space="preserve"> </w:t>
          </w:r>
        </w:p>
        <w:p w14:paraId="14692BFA" w14:textId="5B422942" w:rsidR="0035351E" w:rsidRDefault="0035351E" w:rsidP="0035351E">
          <w:pPr>
            <w:spacing w:after="0"/>
            <w:jc w:val="center"/>
            <w:rPr>
              <w:rFonts w:ascii="Georgia" w:hAnsi="Georgia" w:cs="Times New Roman"/>
              <w:b/>
              <w:bCs/>
              <w:spacing w:val="20"/>
              <w:sz w:val="44"/>
              <w:szCs w:val="44"/>
            </w:rPr>
          </w:pPr>
          <w:r w:rsidRPr="007C732A">
            <w:rPr>
              <w:rFonts w:ascii="Georgia" w:hAnsi="Georgia" w:cs="Times New Roman"/>
              <w:b/>
              <w:bCs/>
              <w:spacing w:val="20"/>
              <w:sz w:val="44"/>
              <w:szCs w:val="44"/>
            </w:rPr>
            <w:t xml:space="preserve">ESG: Hitelesség a </w:t>
          </w:r>
          <w:r>
            <w:rPr>
              <w:rFonts w:ascii="Georgia" w:hAnsi="Georgia" w:cs="Times New Roman"/>
              <w:b/>
              <w:bCs/>
              <w:spacing w:val="20"/>
              <w:sz w:val="44"/>
              <w:szCs w:val="44"/>
            </w:rPr>
            <w:t>számok</w:t>
          </w:r>
          <w:r w:rsidRPr="007C732A">
            <w:rPr>
              <w:rFonts w:ascii="Georgia" w:hAnsi="Georgia" w:cs="Times New Roman"/>
              <w:b/>
              <w:bCs/>
              <w:spacing w:val="20"/>
              <w:sz w:val="44"/>
              <w:szCs w:val="44"/>
            </w:rPr>
            <w:t xml:space="preserve"> mögött</w:t>
          </w:r>
        </w:p>
        <w:p w14:paraId="21C8CDCB" w14:textId="77777777" w:rsidR="0035351E" w:rsidRPr="00B46CAE" w:rsidRDefault="0035351E" w:rsidP="0035351E">
          <w:pPr>
            <w:spacing w:after="0"/>
            <w:jc w:val="center"/>
            <w:rPr>
              <w:rFonts w:ascii="Georgia" w:hAnsi="Georgia" w:cs="Times New Roman"/>
              <w:b/>
              <w:bCs/>
              <w:spacing w:val="20"/>
              <w:sz w:val="44"/>
              <w:szCs w:val="44"/>
            </w:rPr>
          </w:pPr>
        </w:p>
        <w:p w14:paraId="2F8BB286" w14:textId="77777777" w:rsidR="0035351E" w:rsidRPr="00B46CAE" w:rsidRDefault="0035351E" w:rsidP="0035351E">
          <w:pPr>
            <w:spacing w:after="0"/>
            <w:jc w:val="center"/>
            <w:rPr>
              <w:rFonts w:ascii="Georgia" w:hAnsi="Georgia" w:cs="Times New Roman"/>
              <w:b/>
              <w:bCs/>
              <w:spacing w:val="20"/>
              <w:sz w:val="36"/>
              <w:szCs w:val="36"/>
            </w:rPr>
          </w:pPr>
          <w:bookmarkStart w:id="2" w:name="_Hlk119854558"/>
          <w:r>
            <w:rPr>
              <w:rFonts w:ascii="Georgia" w:hAnsi="Georgia" w:cs="Times New Roman"/>
              <w:b/>
              <w:bCs/>
              <w:spacing w:val="20"/>
              <w:sz w:val="36"/>
              <w:szCs w:val="36"/>
            </w:rPr>
            <w:t>Az ESG minősítést végző társaságok által közzétett pontszámok megbízhatóságának és átláthatóságának vizsgálata</w:t>
          </w:r>
        </w:p>
        <w:bookmarkEnd w:id="2"/>
        <w:p w14:paraId="1D4C86FD" w14:textId="77777777" w:rsidR="0035351E" w:rsidRPr="00B46CAE" w:rsidRDefault="0035351E" w:rsidP="0035351E">
          <w:pPr>
            <w:jc w:val="center"/>
            <w:rPr>
              <w:rFonts w:ascii="Georgia" w:hAnsi="Georgia" w:cs="Times New Roman"/>
              <w:sz w:val="36"/>
              <w:szCs w:val="36"/>
            </w:rPr>
          </w:pPr>
        </w:p>
        <w:p w14:paraId="1BE35641" w14:textId="77777777" w:rsidR="0035351E" w:rsidRPr="00B46CAE" w:rsidRDefault="0035351E" w:rsidP="0035351E">
          <w:pPr>
            <w:jc w:val="center"/>
            <w:rPr>
              <w:rFonts w:ascii="Georgia" w:hAnsi="Georgia" w:cs="Times New Roman"/>
              <w:sz w:val="36"/>
              <w:szCs w:val="36"/>
            </w:rPr>
          </w:pPr>
        </w:p>
        <w:p w14:paraId="7B70B3E2" w14:textId="77777777" w:rsidR="0035351E" w:rsidRPr="00B46CAE" w:rsidRDefault="0035351E" w:rsidP="0035351E">
          <w:pPr>
            <w:jc w:val="center"/>
            <w:rPr>
              <w:rFonts w:ascii="Georgia" w:hAnsi="Georgia" w:cs="Times New Roman"/>
              <w:sz w:val="32"/>
              <w:szCs w:val="32"/>
            </w:rPr>
          </w:pPr>
        </w:p>
        <w:p w14:paraId="25CD1B17" w14:textId="727E8C02" w:rsidR="0035351E" w:rsidRDefault="0035351E">
          <w:pPr>
            <w:rPr>
              <w:rFonts w:ascii="Georgia" w:hAnsi="Georgia" w:cs="Times New Roman"/>
              <w:b/>
              <w:bCs/>
              <w:sz w:val="24"/>
              <w:szCs w:val="24"/>
            </w:rPr>
          </w:pPr>
          <w:r>
            <w:rPr>
              <w:rFonts w:ascii="Georgia" w:hAnsi="Georgia" w:cs="Times New Roman"/>
              <w:b/>
              <w:bCs/>
              <w:sz w:val="24"/>
              <w:szCs w:val="24"/>
            </w:rPr>
            <w:br w:type="page"/>
          </w:r>
        </w:p>
      </w:sdtContent>
    </w:sdt>
    <w:sdt>
      <w:sdtPr>
        <w:rPr>
          <w:rFonts w:ascii="Georgia" w:eastAsiaTheme="minorHAnsi" w:hAnsi="Georgia" w:cs="Times New Roman"/>
          <w:b/>
          <w:bCs/>
          <w:color w:val="auto"/>
          <w:sz w:val="24"/>
          <w:szCs w:val="24"/>
          <w:lang w:eastAsia="en-US"/>
        </w:rPr>
        <w:id w:val="1023980415"/>
        <w:docPartObj>
          <w:docPartGallery w:val="Table of Contents"/>
          <w:docPartUnique/>
        </w:docPartObj>
      </w:sdtPr>
      <w:sdtEndPr/>
      <w:sdtContent>
        <w:p w14:paraId="0704A5A9" w14:textId="27C759CF" w:rsidR="000C608A" w:rsidRPr="007E723C" w:rsidRDefault="00F80EA2" w:rsidP="00510FC8">
          <w:pPr>
            <w:pStyle w:val="Tartalomjegyzkcmsora"/>
            <w:spacing w:line="360" w:lineRule="auto"/>
            <w:rPr>
              <w:rFonts w:ascii="Georgia" w:hAnsi="Georgia" w:cs="Times New Roman"/>
              <w:b/>
              <w:bCs/>
              <w:color w:val="auto"/>
              <w:sz w:val="24"/>
              <w:szCs w:val="24"/>
            </w:rPr>
          </w:pPr>
          <w:r w:rsidRPr="007E723C">
            <w:rPr>
              <w:rFonts w:ascii="Georgia" w:hAnsi="Georgia" w:cs="Times New Roman"/>
              <w:b/>
              <w:bCs/>
              <w:color w:val="auto"/>
              <w:sz w:val="24"/>
              <w:szCs w:val="24"/>
            </w:rPr>
            <w:t>TARTALOMJEGYZÉK</w:t>
          </w:r>
        </w:p>
        <w:p w14:paraId="16A17225" w14:textId="205EAD29" w:rsidR="00B25712" w:rsidRDefault="000C608A">
          <w:pPr>
            <w:pStyle w:val="TJ1"/>
            <w:rPr>
              <w:rFonts w:asciiTheme="minorHAnsi" w:eastAsiaTheme="minorEastAsia" w:hAnsiTheme="minorHAnsi" w:cstheme="minorBidi"/>
              <w:b w:val="0"/>
              <w:bCs w:val="0"/>
              <w:sz w:val="22"/>
              <w:szCs w:val="22"/>
              <w:lang w:eastAsia="hu-HU"/>
            </w:rPr>
          </w:pPr>
          <w:r w:rsidRPr="007E723C">
            <w:rPr>
              <w:rFonts w:ascii="Georgia" w:hAnsi="Georgia"/>
            </w:rPr>
            <w:fldChar w:fldCharType="begin"/>
          </w:r>
          <w:r w:rsidRPr="007E723C">
            <w:rPr>
              <w:rFonts w:ascii="Georgia" w:hAnsi="Georgia"/>
            </w:rPr>
            <w:instrText xml:space="preserve"> TOC \o "1-3" \h \z \u </w:instrText>
          </w:r>
          <w:r w:rsidRPr="007E723C">
            <w:rPr>
              <w:rFonts w:ascii="Georgia" w:hAnsi="Georgia"/>
            </w:rPr>
            <w:fldChar w:fldCharType="separate"/>
          </w:r>
          <w:hyperlink w:anchor="_Toc119421162" w:history="1">
            <w:r w:rsidR="00B25712" w:rsidRPr="005C349B">
              <w:rPr>
                <w:rStyle w:val="Hiperhivatkozs"/>
                <w:rFonts w:ascii="Georgia" w:hAnsi="Georgia"/>
              </w:rPr>
              <w:t>1.</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BEVEZETÉS</w:t>
            </w:r>
            <w:r w:rsidR="00B25712">
              <w:rPr>
                <w:webHidden/>
              </w:rPr>
              <w:tab/>
            </w:r>
            <w:r w:rsidR="00B25712">
              <w:rPr>
                <w:webHidden/>
              </w:rPr>
              <w:fldChar w:fldCharType="begin"/>
            </w:r>
            <w:r w:rsidR="00B25712">
              <w:rPr>
                <w:webHidden/>
              </w:rPr>
              <w:instrText xml:space="preserve"> PAGEREF _Toc119421162 \h </w:instrText>
            </w:r>
            <w:r w:rsidR="00B25712">
              <w:rPr>
                <w:webHidden/>
              </w:rPr>
            </w:r>
            <w:r w:rsidR="00B25712">
              <w:rPr>
                <w:webHidden/>
              </w:rPr>
              <w:fldChar w:fldCharType="separate"/>
            </w:r>
            <w:r w:rsidR="00B25712">
              <w:rPr>
                <w:webHidden/>
              </w:rPr>
              <w:t>4</w:t>
            </w:r>
            <w:r w:rsidR="00B25712">
              <w:rPr>
                <w:webHidden/>
              </w:rPr>
              <w:fldChar w:fldCharType="end"/>
            </w:r>
          </w:hyperlink>
        </w:p>
        <w:p w14:paraId="4AA4C132" w14:textId="587FE684" w:rsidR="00B25712" w:rsidRDefault="00AF1C02">
          <w:pPr>
            <w:pStyle w:val="TJ1"/>
            <w:rPr>
              <w:rFonts w:asciiTheme="minorHAnsi" w:eastAsiaTheme="minorEastAsia" w:hAnsiTheme="minorHAnsi" w:cstheme="minorBidi"/>
              <w:b w:val="0"/>
              <w:bCs w:val="0"/>
              <w:sz w:val="22"/>
              <w:szCs w:val="22"/>
              <w:lang w:eastAsia="hu-HU"/>
            </w:rPr>
          </w:pPr>
          <w:hyperlink w:anchor="_Toc119421163" w:history="1">
            <w:r w:rsidR="00B25712" w:rsidRPr="005C349B">
              <w:rPr>
                <w:rStyle w:val="Hiperhivatkozs"/>
                <w:rFonts w:ascii="Georgia" w:hAnsi="Georgia"/>
              </w:rPr>
              <w:t>2.</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SZAKIRODALMI ÁTTEKINTÉS</w:t>
            </w:r>
            <w:r w:rsidR="00B25712">
              <w:rPr>
                <w:webHidden/>
              </w:rPr>
              <w:tab/>
            </w:r>
            <w:r w:rsidR="00B25712">
              <w:rPr>
                <w:webHidden/>
              </w:rPr>
              <w:fldChar w:fldCharType="begin"/>
            </w:r>
            <w:r w:rsidR="00B25712">
              <w:rPr>
                <w:webHidden/>
              </w:rPr>
              <w:instrText xml:space="preserve"> PAGEREF _Toc119421163 \h </w:instrText>
            </w:r>
            <w:r w:rsidR="00B25712">
              <w:rPr>
                <w:webHidden/>
              </w:rPr>
            </w:r>
            <w:r w:rsidR="00B25712">
              <w:rPr>
                <w:webHidden/>
              </w:rPr>
              <w:fldChar w:fldCharType="separate"/>
            </w:r>
            <w:r w:rsidR="00B25712">
              <w:rPr>
                <w:webHidden/>
              </w:rPr>
              <w:t>7</w:t>
            </w:r>
            <w:r w:rsidR="00B25712">
              <w:rPr>
                <w:webHidden/>
              </w:rPr>
              <w:fldChar w:fldCharType="end"/>
            </w:r>
          </w:hyperlink>
        </w:p>
        <w:p w14:paraId="2D946725" w14:textId="4AF37A91" w:rsidR="00B25712" w:rsidRDefault="00AF1C02">
          <w:pPr>
            <w:pStyle w:val="TJ2"/>
            <w:tabs>
              <w:tab w:val="left" w:pos="880"/>
              <w:tab w:val="right" w:leader="dot" w:pos="8493"/>
            </w:tabs>
            <w:rPr>
              <w:rFonts w:eastAsiaTheme="minorEastAsia"/>
              <w:noProof/>
              <w:lang w:eastAsia="hu-HU"/>
            </w:rPr>
          </w:pPr>
          <w:hyperlink w:anchor="_Toc119421164" w:history="1">
            <w:r w:rsidR="00B25712" w:rsidRPr="005C349B">
              <w:rPr>
                <w:rStyle w:val="Hiperhivatkozs"/>
                <w:rFonts w:ascii="Georgia" w:hAnsi="Georgia" w:cs="Times New Roman"/>
                <w:b/>
                <w:bCs/>
                <w:noProof/>
              </w:rPr>
              <w:t>2.1</w:t>
            </w:r>
            <w:r w:rsidR="00B25712">
              <w:rPr>
                <w:rFonts w:eastAsiaTheme="minorEastAsia"/>
                <w:noProof/>
                <w:lang w:eastAsia="hu-HU"/>
              </w:rPr>
              <w:tab/>
            </w:r>
            <w:r w:rsidR="00B25712" w:rsidRPr="005C349B">
              <w:rPr>
                <w:rStyle w:val="Hiperhivatkozs"/>
                <w:rFonts w:ascii="Georgia" w:hAnsi="Georgia" w:cs="Times New Roman"/>
                <w:b/>
                <w:bCs/>
                <w:noProof/>
              </w:rPr>
              <w:t>Fenntarthatóság a vállalatok életében</w:t>
            </w:r>
            <w:r w:rsidR="00B25712">
              <w:rPr>
                <w:noProof/>
                <w:webHidden/>
              </w:rPr>
              <w:tab/>
            </w:r>
            <w:r w:rsidR="00B25712">
              <w:rPr>
                <w:noProof/>
                <w:webHidden/>
              </w:rPr>
              <w:fldChar w:fldCharType="begin"/>
            </w:r>
            <w:r w:rsidR="00B25712">
              <w:rPr>
                <w:noProof/>
                <w:webHidden/>
              </w:rPr>
              <w:instrText xml:space="preserve"> PAGEREF _Toc119421164 \h </w:instrText>
            </w:r>
            <w:r w:rsidR="00B25712">
              <w:rPr>
                <w:noProof/>
                <w:webHidden/>
              </w:rPr>
            </w:r>
            <w:r w:rsidR="00B25712">
              <w:rPr>
                <w:noProof/>
                <w:webHidden/>
              </w:rPr>
              <w:fldChar w:fldCharType="separate"/>
            </w:r>
            <w:r w:rsidR="00B25712">
              <w:rPr>
                <w:noProof/>
                <w:webHidden/>
              </w:rPr>
              <w:t>7</w:t>
            </w:r>
            <w:r w:rsidR="00B25712">
              <w:rPr>
                <w:noProof/>
                <w:webHidden/>
              </w:rPr>
              <w:fldChar w:fldCharType="end"/>
            </w:r>
          </w:hyperlink>
        </w:p>
        <w:p w14:paraId="3145B0F6" w14:textId="5A8FCA78" w:rsidR="00B25712" w:rsidRDefault="00AF1C02">
          <w:pPr>
            <w:pStyle w:val="TJ3"/>
            <w:rPr>
              <w:rFonts w:asciiTheme="minorHAnsi" w:eastAsiaTheme="minorEastAsia" w:hAnsiTheme="minorHAnsi" w:cstheme="minorBidi"/>
              <w:b w:val="0"/>
              <w:bCs w:val="0"/>
              <w:lang w:eastAsia="hu-HU"/>
            </w:rPr>
          </w:pPr>
          <w:hyperlink w:anchor="_Toc119421165" w:history="1">
            <w:r w:rsidR="00B25712" w:rsidRPr="005C349B">
              <w:rPr>
                <w:rStyle w:val="Hiperhivatkozs"/>
                <w:rFonts w:ascii="Georgia" w:hAnsi="Georgia"/>
              </w:rPr>
              <w:t>2.1.1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 vállalatelméletek fejlődése</w:t>
            </w:r>
            <w:r w:rsidR="00B25712">
              <w:rPr>
                <w:webHidden/>
              </w:rPr>
              <w:tab/>
            </w:r>
            <w:r w:rsidR="00B25712">
              <w:rPr>
                <w:webHidden/>
              </w:rPr>
              <w:fldChar w:fldCharType="begin"/>
            </w:r>
            <w:r w:rsidR="00B25712">
              <w:rPr>
                <w:webHidden/>
              </w:rPr>
              <w:instrText xml:space="preserve"> PAGEREF _Toc119421165 \h </w:instrText>
            </w:r>
            <w:r w:rsidR="00B25712">
              <w:rPr>
                <w:webHidden/>
              </w:rPr>
            </w:r>
            <w:r w:rsidR="00B25712">
              <w:rPr>
                <w:webHidden/>
              </w:rPr>
              <w:fldChar w:fldCharType="separate"/>
            </w:r>
            <w:r w:rsidR="00B25712">
              <w:rPr>
                <w:webHidden/>
              </w:rPr>
              <w:t>7</w:t>
            </w:r>
            <w:r w:rsidR="00B25712">
              <w:rPr>
                <w:webHidden/>
              </w:rPr>
              <w:fldChar w:fldCharType="end"/>
            </w:r>
          </w:hyperlink>
        </w:p>
        <w:p w14:paraId="59A2A1E3" w14:textId="31AAF1C3" w:rsidR="00B25712" w:rsidRDefault="00AF1C02">
          <w:pPr>
            <w:pStyle w:val="TJ3"/>
            <w:rPr>
              <w:rFonts w:asciiTheme="minorHAnsi" w:eastAsiaTheme="minorEastAsia" w:hAnsiTheme="minorHAnsi" w:cstheme="minorBidi"/>
              <w:b w:val="0"/>
              <w:bCs w:val="0"/>
              <w:lang w:eastAsia="hu-HU"/>
            </w:rPr>
          </w:pPr>
          <w:hyperlink w:anchor="_Toc119421166" w:history="1">
            <w:r w:rsidR="00B25712" w:rsidRPr="005C349B">
              <w:rPr>
                <w:rStyle w:val="Hiperhivatkozs"/>
                <w:rFonts w:ascii="Georgia" w:hAnsi="Georgia"/>
              </w:rPr>
              <w:t>2.1.2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 vállalati társadalmi felelősségvállalás (CSR) megközelítései</w:t>
            </w:r>
            <w:r w:rsidR="00B25712">
              <w:rPr>
                <w:webHidden/>
              </w:rPr>
              <w:tab/>
            </w:r>
            <w:r w:rsidR="00B25712">
              <w:rPr>
                <w:webHidden/>
              </w:rPr>
              <w:fldChar w:fldCharType="begin"/>
            </w:r>
            <w:r w:rsidR="00B25712">
              <w:rPr>
                <w:webHidden/>
              </w:rPr>
              <w:instrText xml:space="preserve"> PAGEREF _Toc119421166 \h </w:instrText>
            </w:r>
            <w:r w:rsidR="00B25712">
              <w:rPr>
                <w:webHidden/>
              </w:rPr>
            </w:r>
            <w:r w:rsidR="00B25712">
              <w:rPr>
                <w:webHidden/>
              </w:rPr>
              <w:fldChar w:fldCharType="separate"/>
            </w:r>
            <w:r w:rsidR="00B25712">
              <w:rPr>
                <w:webHidden/>
              </w:rPr>
              <w:t>9</w:t>
            </w:r>
            <w:r w:rsidR="00B25712">
              <w:rPr>
                <w:webHidden/>
              </w:rPr>
              <w:fldChar w:fldCharType="end"/>
            </w:r>
          </w:hyperlink>
        </w:p>
        <w:p w14:paraId="4F29571B" w14:textId="7D5DCA6A" w:rsidR="00B25712" w:rsidRDefault="00AF1C02">
          <w:pPr>
            <w:pStyle w:val="TJ3"/>
            <w:rPr>
              <w:rFonts w:asciiTheme="minorHAnsi" w:eastAsiaTheme="minorEastAsia" w:hAnsiTheme="minorHAnsi" w:cstheme="minorBidi"/>
              <w:b w:val="0"/>
              <w:bCs w:val="0"/>
              <w:lang w:eastAsia="hu-HU"/>
            </w:rPr>
          </w:pPr>
          <w:hyperlink w:anchor="_Toc119421167" w:history="1">
            <w:r w:rsidR="00B25712" w:rsidRPr="005C349B">
              <w:rPr>
                <w:rStyle w:val="Hiperhivatkozs"/>
                <w:rFonts w:ascii="Georgia" w:hAnsi="Georgia"/>
              </w:rPr>
              <w:t>2.1.3</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Fenntarthatóság a számvitelben</w:t>
            </w:r>
            <w:r w:rsidR="00B25712">
              <w:rPr>
                <w:webHidden/>
              </w:rPr>
              <w:tab/>
            </w:r>
            <w:r w:rsidR="00B25712">
              <w:rPr>
                <w:webHidden/>
              </w:rPr>
              <w:fldChar w:fldCharType="begin"/>
            </w:r>
            <w:r w:rsidR="00B25712">
              <w:rPr>
                <w:webHidden/>
              </w:rPr>
              <w:instrText xml:space="preserve"> PAGEREF _Toc119421167 \h </w:instrText>
            </w:r>
            <w:r w:rsidR="00B25712">
              <w:rPr>
                <w:webHidden/>
              </w:rPr>
            </w:r>
            <w:r w:rsidR="00B25712">
              <w:rPr>
                <w:webHidden/>
              </w:rPr>
              <w:fldChar w:fldCharType="separate"/>
            </w:r>
            <w:r w:rsidR="00B25712">
              <w:rPr>
                <w:webHidden/>
              </w:rPr>
              <w:t>11</w:t>
            </w:r>
            <w:r w:rsidR="00B25712">
              <w:rPr>
                <w:webHidden/>
              </w:rPr>
              <w:fldChar w:fldCharType="end"/>
            </w:r>
          </w:hyperlink>
        </w:p>
        <w:p w14:paraId="7FFF983F" w14:textId="169C7ED6" w:rsidR="00B25712" w:rsidRDefault="00AF1C02">
          <w:pPr>
            <w:pStyle w:val="TJ2"/>
            <w:tabs>
              <w:tab w:val="left" w:pos="880"/>
              <w:tab w:val="right" w:leader="dot" w:pos="8493"/>
            </w:tabs>
            <w:rPr>
              <w:rFonts w:eastAsiaTheme="minorEastAsia"/>
              <w:noProof/>
              <w:lang w:eastAsia="hu-HU"/>
            </w:rPr>
          </w:pPr>
          <w:hyperlink w:anchor="_Toc119421168" w:history="1">
            <w:r w:rsidR="00B25712" w:rsidRPr="005C349B">
              <w:rPr>
                <w:rStyle w:val="Hiperhivatkozs"/>
                <w:rFonts w:ascii="Georgia" w:hAnsi="Georgia" w:cs="Times New Roman"/>
                <w:b/>
                <w:bCs/>
                <w:noProof/>
              </w:rPr>
              <w:t>2.2</w:t>
            </w:r>
            <w:r w:rsidR="00B25712">
              <w:rPr>
                <w:rFonts w:eastAsiaTheme="minorEastAsia"/>
                <w:noProof/>
                <w:lang w:eastAsia="hu-HU"/>
              </w:rPr>
              <w:tab/>
            </w:r>
            <w:r w:rsidR="00B25712" w:rsidRPr="005C349B">
              <w:rPr>
                <w:rStyle w:val="Hiperhivatkozs"/>
                <w:rFonts w:ascii="Georgia" w:hAnsi="Georgia" w:cs="Times New Roman"/>
                <w:b/>
                <w:bCs/>
                <w:noProof/>
              </w:rPr>
              <w:t>Fenntarthatóság a befektetői oldalon</w:t>
            </w:r>
            <w:r w:rsidR="00B25712">
              <w:rPr>
                <w:noProof/>
                <w:webHidden/>
              </w:rPr>
              <w:tab/>
            </w:r>
            <w:r w:rsidR="00B25712">
              <w:rPr>
                <w:noProof/>
                <w:webHidden/>
              </w:rPr>
              <w:fldChar w:fldCharType="begin"/>
            </w:r>
            <w:r w:rsidR="00B25712">
              <w:rPr>
                <w:noProof/>
                <w:webHidden/>
              </w:rPr>
              <w:instrText xml:space="preserve"> PAGEREF _Toc119421168 \h </w:instrText>
            </w:r>
            <w:r w:rsidR="00B25712">
              <w:rPr>
                <w:noProof/>
                <w:webHidden/>
              </w:rPr>
            </w:r>
            <w:r w:rsidR="00B25712">
              <w:rPr>
                <w:noProof/>
                <w:webHidden/>
              </w:rPr>
              <w:fldChar w:fldCharType="separate"/>
            </w:r>
            <w:r w:rsidR="00B25712">
              <w:rPr>
                <w:noProof/>
                <w:webHidden/>
              </w:rPr>
              <w:t>15</w:t>
            </w:r>
            <w:r w:rsidR="00B25712">
              <w:rPr>
                <w:noProof/>
                <w:webHidden/>
              </w:rPr>
              <w:fldChar w:fldCharType="end"/>
            </w:r>
          </w:hyperlink>
        </w:p>
        <w:p w14:paraId="0B80A93E" w14:textId="7866ECD9" w:rsidR="00B25712" w:rsidRDefault="00AF1C02">
          <w:pPr>
            <w:pStyle w:val="TJ3"/>
            <w:rPr>
              <w:rFonts w:asciiTheme="minorHAnsi" w:eastAsiaTheme="minorEastAsia" w:hAnsiTheme="minorHAnsi" w:cstheme="minorBidi"/>
              <w:b w:val="0"/>
              <w:bCs w:val="0"/>
              <w:lang w:eastAsia="hu-HU"/>
            </w:rPr>
          </w:pPr>
          <w:hyperlink w:anchor="_Toc119421169" w:history="1">
            <w:r w:rsidR="00B25712" w:rsidRPr="005C349B">
              <w:rPr>
                <w:rStyle w:val="Hiperhivatkozs"/>
                <w:rFonts w:ascii="Georgia" w:hAnsi="Georgia"/>
              </w:rPr>
              <w:t>2.2.1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SRI-től az ESG-ig</w:t>
            </w:r>
            <w:r w:rsidR="00B25712">
              <w:rPr>
                <w:webHidden/>
              </w:rPr>
              <w:tab/>
            </w:r>
            <w:r w:rsidR="00B25712">
              <w:rPr>
                <w:webHidden/>
              </w:rPr>
              <w:fldChar w:fldCharType="begin"/>
            </w:r>
            <w:r w:rsidR="00B25712">
              <w:rPr>
                <w:webHidden/>
              </w:rPr>
              <w:instrText xml:space="preserve"> PAGEREF _Toc119421169 \h </w:instrText>
            </w:r>
            <w:r w:rsidR="00B25712">
              <w:rPr>
                <w:webHidden/>
              </w:rPr>
            </w:r>
            <w:r w:rsidR="00B25712">
              <w:rPr>
                <w:webHidden/>
              </w:rPr>
              <w:fldChar w:fldCharType="separate"/>
            </w:r>
            <w:r w:rsidR="00B25712">
              <w:rPr>
                <w:webHidden/>
              </w:rPr>
              <w:t>16</w:t>
            </w:r>
            <w:r w:rsidR="00B25712">
              <w:rPr>
                <w:webHidden/>
              </w:rPr>
              <w:fldChar w:fldCharType="end"/>
            </w:r>
          </w:hyperlink>
        </w:p>
        <w:p w14:paraId="61E968D8" w14:textId="25CD29F3" w:rsidR="00B25712" w:rsidRDefault="00AF1C02">
          <w:pPr>
            <w:pStyle w:val="TJ3"/>
            <w:rPr>
              <w:rFonts w:asciiTheme="minorHAnsi" w:eastAsiaTheme="minorEastAsia" w:hAnsiTheme="minorHAnsi" w:cstheme="minorBidi"/>
              <w:b w:val="0"/>
              <w:bCs w:val="0"/>
              <w:lang w:eastAsia="hu-HU"/>
            </w:rPr>
          </w:pPr>
          <w:hyperlink w:anchor="_Toc119421170" w:history="1">
            <w:r w:rsidR="00B25712" w:rsidRPr="005C349B">
              <w:rPr>
                <w:rStyle w:val="Hiperhivatkozs"/>
                <w:rFonts w:ascii="Georgia" w:hAnsi="Georgia"/>
              </w:rPr>
              <w:t>2.2.2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Mi is az az ESG? A három pillér</w:t>
            </w:r>
            <w:r w:rsidR="00B25712">
              <w:rPr>
                <w:webHidden/>
              </w:rPr>
              <w:tab/>
            </w:r>
            <w:r w:rsidR="00B25712">
              <w:rPr>
                <w:webHidden/>
              </w:rPr>
              <w:fldChar w:fldCharType="begin"/>
            </w:r>
            <w:r w:rsidR="00B25712">
              <w:rPr>
                <w:webHidden/>
              </w:rPr>
              <w:instrText xml:space="preserve"> PAGEREF _Toc119421170 \h </w:instrText>
            </w:r>
            <w:r w:rsidR="00B25712">
              <w:rPr>
                <w:webHidden/>
              </w:rPr>
            </w:r>
            <w:r w:rsidR="00B25712">
              <w:rPr>
                <w:webHidden/>
              </w:rPr>
              <w:fldChar w:fldCharType="separate"/>
            </w:r>
            <w:r w:rsidR="00B25712">
              <w:rPr>
                <w:webHidden/>
              </w:rPr>
              <w:t>17</w:t>
            </w:r>
            <w:r w:rsidR="00B25712">
              <w:rPr>
                <w:webHidden/>
              </w:rPr>
              <w:fldChar w:fldCharType="end"/>
            </w:r>
          </w:hyperlink>
        </w:p>
        <w:p w14:paraId="5267FE95" w14:textId="3D00BAF4" w:rsidR="00B25712" w:rsidRDefault="00AF1C02">
          <w:pPr>
            <w:pStyle w:val="TJ3"/>
            <w:rPr>
              <w:rFonts w:asciiTheme="minorHAnsi" w:eastAsiaTheme="minorEastAsia" w:hAnsiTheme="minorHAnsi" w:cstheme="minorBidi"/>
              <w:b w:val="0"/>
              <w:bCs w:val="0"/>
              <w:lang w:eastAsia="hu-HU"/>
            </w:rPr>
          </w:pPr>
          <w:hyperlink w:anchor="_Toc119421171" w:history="1">
            <w:r w:rsidR="00B25712" w:rsidRPr="005C349B">
              <w:rPr>
                <w:rStyle w:val="Hiperhivatkozs"/>
                <w:rFonts w:ascii="Georgia" w:hAnsi="Georgia"/>
              </w:rPr>
              <w:t>2.2.3</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ESG elterjedésének lehetséges okai</w:t>
            </w:r>
            <w:r w:rsidR="00B25712">
              <w:rPr>
                <w:webHidden/>
              </w:rPr>
              <w:tab/>
            </w:r>
            <w:r w:rsidR="00B25712">
              <w:rPr>
                <w:webHidden/>
              </w:rPr>
              <w:fldChar w:fldCharType="begin"/>
            </w:r>
            <w:r w:rsidR="00B25712">
              <w:rPr>
                <w:webHidden/>
              </w:rPr>
              <w:instrText xml:space="preserve"> PAGEREF _Toc119421171 \h </w:instrText>
            </w:r>
            <w:r w:rsidR="00B25712">
              <w:rPr>
                <w:webHidden/>
              </w:rPr>
            </w:r>
            <w:r w:rsidR="00B25712">
              <w:rPr>
                <w:webHidden/>
              </w:rPr>
              <w:fldChar w:fldCharType="separate"/>
            </w:r>
            <w:r w:rsidR="00B25712">
              <w:rPr>
                <w:webHidden/>
              </w:rPr>
              <w:t>18</w:t>
            </w:r>
            <w:r w:rsidR="00B25712">
              <w:rPr>
                <w:webHidden/>
              </w:rPr>
              <w:fldChar w:fldCharType="end"/>
            </w:r>
          </w:hyperlink>
        </w:p>
        <w:p w14:paraId="7A9E8B58" w14:textId="39FA4E52" w:rsidR="00B25712" w:rsidRDefault="00AF1C02">
          <w:pPr>
            <w:pStyle w:val="TJ2"/>
            <w:tabs>
              <w:tab w:val="left" w:pos="880"/>
              <w:tab w:val="right" w:leader="dot" w:pos="8493"/>
            </w:tabs>
            <w:rPr>
              <w:rFonts w:eastAsiaTheme="minorEastAsia"/>
              <w:noProof/>
              <w:lang w:eastAsia="hu-HU"/>
            </w:rPr>
          </w:pPr>
          <w:hyperlink w:anchor="_Toc119421172" w:history="1">
            <w:r w:rsidR="00B25712" w:rsidRPr="005C349B">
              <w:rPr>
                <w:rStyle w:val="Hiperhivatkozs"/>
                <w:rFonts w:ascii="Georgia" w:hAnsi="Georgia" w:cs="Times New Roman"/>
                <w:b/>
                <w:bCs/>
                <w:noProof/>
              </w:rPr>
              <w:t>2.3</w:t>
            </w:r>
            <w:r w:rsidR="00B25712">
              <w:rPr>
                <w:rFonts w:eastAsiaTheme="minorEastAsia"/>
                <w:noProof/>
                <w:lang w:eastAsia="hu-HU"/>
              </w:rPr>
              <w:tab/>
            </w:r>
            <w:r w:rsidR="00B25712" w:rsidRPr="005C349B">
              <w:rPr>
                <w:rStyle w:val="Hiperhivatkozs"/>
                <w:rFonts w:ascii="Georgia" w:hAnsi="Georgia" w:cs="Times New Roman"/>
                <w:b/>
                <w:bCs/>
                <w:noProof/>
              </w:rPr>
              <w:t>A nem pénzügyi jelentéstétel szabályozói környezete</w:t>
            </w:r>
            <w:r w:rsidR="00B25712">
              <w:rPr>
                <w:noProof/>
                <w:webHidden/>
              </w:rPr>
              <w:tab/>
            </w:r>
            <w:r w:rsidR="00B25712">
              <w:rPr>
                <w:noProof/>
                <w:webHidden/>
              </w:rPr>
              <w:fldChar w:fldCharType="begin"/>
            </w:r>
            <w:r w:rsidR="00B25712">
              <w:rPr>
                <w:noProof/>
                <w:webHidden/>
              </w:rPr>
              <w:instrText xml:space="preserve"> PAGEREF _Toc119421172 \h </w:instrText>
            </w:r>
            <w:r w:rsidR="00B25712">
              <w:rPr>
                <w:noProof/>
                <w:webHidden/>
              </w:rPr>
            </w:r>
            <w:r w:rsidR="00B25712">
              <w:rPr>
                <w:noProof/>
                <w:webHidden/>
              </w:rPr>
              <w:fldChar w:fldCharType="separate"/>
            </w:r>
            <w:r w:rsidR="00B25712">
              <w:rPr>
                <w:noProof/>
                <w:webHidden/>
              </w:rPr>
              <w:t>20</w:t>
            </w:r>
            <w:r w:rsidR="00B25712">
              <w:rPr>
                <w:noProof/>
                <w:webHidden/>
              </w:rPr>
              <w:fldChar w:fldCharType="end"/>
            </w:r>
          </w:hyperlink>
        </w:p>
        <w:p w14:paraId="2F549A6B" w14:textId="24409F88" w:rsidR="00B25712" w:rsidRDefault="00AF1C02">
          <w:pPr>
            <w:pStyle w:val="TJ3"/>
            <w:rPr>
              <w:rFonts w:asciiTheme="minorHAnsi" w:eastAsiaTheme="minorEastAsia" w:hAnsiTheme="minorHAnsi" w:cstheme="minorBidi"/>
              <w:b w:val="0"/>
              <w:bCs w:val="0"/>
              <w:lang w:eastAsia="hu-HU"/>
            </w:rPr>
          </w:pPr>
          <w:hyperlink w:anchor="_Toc119421173" w:history="1">
            <w:r w:rsidR="00B25712" w:rsidRPr="005C349B">
              <w:rPr>
                <w:rStyle w:val="Hiperhivatkozs"/>
                <w:rFonts w:ascii="Georgia" w:hAnsi="Georgia"/>
              </w:rPr>
              <w:t>2.3.1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Európai Unió nem pénzügyi jelentésekre vonatkozó irányelvei</w:t>
            </w:r>
            <w:r w:rsidR="00B25712">
              <w:rPr>
                <w:webHidden/>
              </w:rPr>
              <w:tab/>
            </w:r>
            <w:r w:rsidR="00B25712">
              <w:rPr>
                <w:webHidden/>
              </w:rPr>
              <w:fldChar w:fldCharType="begin"/>
            </w:r>
            <w:r w:rsidR="00B25712">
              <w:rPr>
                <w:webHidden/>
              </w:rPr>
              <w:instrText xml:space="preserve"> PAGEREF _Toc119421173 \h </w:instrText>
            </w:r>
            <w:r w:rsidR="00B25712">
              <w:rPr>
                <w:webHidden/>
              </w:rPr>
            </w:r>
            <w:r w:rsidR="00B25712">
              <w:rPr>
                <w:webHidden/>
              </w:rPr>
              <w:fldChar w:fldCharType="separate"/>
            </w:r>
            <w:r w:rsidR="00B25712">
              <w:rPr>
                <w:webHidden/>
              </w:rPr>
              <w:t>22</w:t>
            </w:r>
            <w:r w:rsidR="00B25712">
              <w:rPr>
                <w:webHidden/>
              </w:rPr>
              <w:fldChar w:fldCharType="end"/>
            </w:r>
          </w:hyperlink>
        </w:p>
        <w:p w14:paraId="5BB4C0A1" w14:textId="6F2ADB7B" w:rsidR="00B25712" w:rsidRDefault="00AF1C02">
          <w:pPr>
            <w:pStyle w:val="TJ3"/>
            <w:rPr>
              <w:rFonts w:asciiTheme="minorHAnsi" w:eastAsiaTheme="minorEastAsia" w:hAnsiTheme="minorHAnsi" w:cstheme="minorBidi"/>
              <w:b w:val="0"/>
              <w:bCs w:val="0"/>
              <w:lang w:eastAsia="hu-HU"/>
            </w:rPr>
          </w:pPr>
          <w:hyperlink w:anchor="_Toc119421174" w:history="1">
            <w:r w:rsidR="00B25712" w:rsidRPr="005C349B">
              <w:rPr>
                <w:rStyle w:val="Hiperhivatkozs"/>
                <w:rFonts w:ascii="Georgia" w:hAnsi="Georgia"/>
              </w:rPr>
              <w:t>2.3.2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Nem pénzügyi beszámolási standardok</w:t>
            </w:r>
            <w:r w:rsidR="00B25712">
              <w:rPr>
                <w:webHidden/>
              </w:rPr>
              <w:tab/>
            </w:r>
            <w:r w:rsidR="00B25712">
              <w:rPr>
                <w:webHidden/>
              </w:rPr>
              <w:fldChar w:fldCharType="begin"/>
            </w:r>
            <w:r w:rsidR="00B25712">
              <w:rPr>
                <w:webHidden/>
              </w:rPr>
              <w:instrText xml:space="preserve"> PAGEREF _Toc119421174 \h </w:instrText>
            </w:r>
            <w:r w:rsidR="00B25712">
              <w:rPr>
                <w:webHidden/>
              </w:rPr>
            </w:r>
            <w:r w:rsidR="00B25712">
              <w:rPr>
                <w:webHidden/>
              </w:rPr>
              <w:fldChar w:fldCharType="separate"/>
            </w:r>
            <w:r w:rsidR="00B25712">
              <w:rPr>
                <w:webHidden/>
              </w:rPr>
              <w:t>24</w:t>
            </w:r>
            <w:r w:rsidR="00B25712">
              <w:rPr>
                <w:webHidden/>
              </w:rPr>
              <w:fldChar w:fldCharType="end"/>
            </w:r>
          </w:hyperlink>
        </w:p>
        <w:p w14:paraId="404EBE73" w14:textId="2DCE603C" w:rsidR="00B25712" w:rsidRDefault="00AF1C02">
          <w:pPr>
            <w:pStyle w:val="TJ2"/>
            <w:tabs>
              <w:tab w:val="left" w:pos="880"/>
              <w:tab w:val="right" w:leader="dot" w:pos="8493"/>
            </w:tabs>
            <w:rPr>
              <w:rFonts w:eastAsiaTheme="minorEastAsia"/>
              <w:noProof/>
              <w:lang w:eastAsia="hu-HU"/>
            </w:rPr>
          </w:pPr>
          <w:hyperlink w:anchor="_Toc119421175" w:history="1">
            <w:r w:rsidR="00B25712" w:rsidRPr="005C349B">
              <w:rPr>
                <w:rStyle w:val="Hiperhivatkozs"/>
                <w:rFonts w:ascii="Georgia" w:hAnsi="Georgia" w:cs="Times New Roman"/>
                <w:b/>
                <w:bCs/>
                <w:noProof/>
              </w:rPr>
              <w:t>2.4</w:t>
            </w:r>
            <w:r w:rsidR="00B25712">
              <w:rPr>
                <w:rFonts w:eastAsiaTheme="minorEastAsia"/>
                <w:noProof/>
                <w:lang w:eastAsia="hu-HU"/>
              </w:rPr>
              <w:tab/>
            </w:r>
            <w:r w:rsidR="00B25712" w:rsidRPr="005C349B">
              <w:rPr>
                <w:rStyle w:val="Hiperhivatkozs"/>
                <w:rFonts w:ascii="Georgia" w:hAnsi="Georgia" w:cs="Times New Roman"/>
                <w:b/>
                <w:bCs/>
                <w:noProof/>
              </w:rPr>
              <w:t>Az ESG teljesítmény mérése</w:t>
            </w:r>
            <w:r w:rsidR="00B25712">
              <w:rPr>
                <w:noProof/>
                <w:webHidden/>
              </w:rPr>
              <w:tab/>
            </w:r>
            <w:r w:rsidR="00B25712">
              <w:rPr>
                <w:noProof/>
                <w:webHidden/>
              </w:rPr>
              <w:fldChar w:fldCharType="begin"/>
            </w:r>
            <w:r w:rsidR="00B25712">
              <w:rPr>
                <w:noProof/>
                <w:webHidden/>
              </w:rPr>
              <w:instrText xml:space="preserve"> PAGEREF _Toc119421175 \h </w:instrText>
            </w:r>
            <w:r w:rsidR="00B25712">
              <w:rPr>
                <w:noProof/>
                <w:webHidden/>
              </w:rPr>
            </w:r>
            <w:r w:rsidR="00B25712">
              <w:rPr>
                <w:noProof/>
                <w:webHidden/>
              </w:rPr>
              <w:fldChar w:fldCharType="separate"/>
            </w:r>
            <w:r w:rsidR="00B25712">
              <w:rPr>
                <w:noProof/>
                <w:webHidden/>
              </w:rPr>
              <w:t>27</w:t>
            </w:r>
            <w:r w:rsidR="00B25712">
              <w:rPr>
                <w:noProof/>
                <w:webHidden/>
              </w:rPr>
              <w:fldChar w:fldCharType="end"/>
            </w:r>
          </w:hyperlink>
        </w:p>
        <w:p w14:paraId="27ED1314" w14:textId="75ED81C2" w:rsidR="00B25712" w:rsidRDefault="00AF1C02">
          <w:pPr>
            <w:pStyle w:val="TJ3"/>
            <w:rPr>
              <w:rFonts w:asciiTheme="minorHAnsi" w:eastAsiaTheme="minorEastAsia" w:hAnsiTheme="minorHAnsi" w:cstheme="minorBidi"/>
              <w:b w:val="0"/>
              <w:bCs w:val="0"/>
              <w:lang w:eastAsia="hu-HU"/>
            </w:rPr>
          </w:pPr>
          <w:hyperlink w:anchor="_Toc119421176" w:history="1">
            <w:r w:rsidR="00B25712" w:rsidRPr="005C349B">
              <w:rPr>
                <w:rStyle w:val="Hiperhivatkozs"/>
                <w:rFonts w:ascii="Georgia" w:hAnsi="Georgia"/>
              </w:rPr>
              <w:t>2.4.1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Fenntarthatósági indexek, rangsorok és iránymutatások</w:t>
            </w:r>
            <w:r w:rsidR="00B25712">
              <w:rPr>
                <w:webHidden/>
              </w:rPr>
              <w:tab/>
            </w:r>
            <w:r w:rsidR="00B25712">
              <w:rPr>
                <w:webHidden/>
              </w:rPr>
              <w:fldChar w:fldCharType="begin"/>
            </w:r>
            <w:r w:rsidR="00B25712">
              <w:rPr>
                <w:webHidden/>
              </w:rPr>
              <w:instrText xml:space="preserve"> PAGEREF _Toc119421176 \h </w:instrText>
            </w:r>
            <w:r w:rsidR="00B25712">
              <w:rPr>
                <w:webHidden/>
              </w:rPr>
            </w:r>
            <w:r w:rsidR="00B25712">
              <w:rPr>
                <w:webHidden/>
              </w:rPr>
              <w:fldChar w:fldCharType="separate"/>
            </w:r>
            <w:r w:rsidR="00B25712">
              <w:rPr>
                <w:webHidden/>
              </w:rPr>
              <w:t>29</w:t>
            </w:r>
            <w:r w:rsidR="00B25712">
              <w:rPr>
                <w:webHidden/>
              </w:rPr>
              <w:fldChar w:fldCharType="end"/>
            </w:r>
          </w:hyperlink>
        </w:p>
        <w:p w14:paraId="4D019CD0" w14:textId="7CF93D54" w:rsidR="00B25712" w:rsidRDefault="00AF1C02">
          <w:pPr>
            <w:pStyle w:val="TJ3"/>
            <w:rPr>
              <w:rFonts w:asciiTheme="minorHAnsi" w:eastAsiaTheme="minorEastAsia" w:hAnsiTheme="minorHAnsi" w:cstheme="minorBidi"/>
              <w:b w:val="0"/>
              <w:bCs w:val="0"/>
              <w:lang w:eastAsia="hu-HU"/>
            </w:rPr>
          </w:pPr>
          <w:hyperlink w:anchor="_Toc119421177" w:history="1">
            <w:r w:rsidR="00B25712" w:rsidRPr="005C349B">
              <w:rPr>
                <w:rStyle w:val="Hiperhivatkozs"/>
                <w:rFonts w:ascii="Georgia" w:hAnsi="Georgia"/>
              </w:rPr>
              <w:t>2.4.2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ESG minősítések</w:t>
            </w:r>
            <w:r w:rsidR="00B25712">
              <w:rPr>
                <w:webHidden/>
              </w:rPr>
              <w:tab/>
            </w:r>
            <w:r w:rsidR="00B25712">
              <w:rPr>
                <w:webHidden/>
              </w:rPr>
              <w:fldChar w:fldCharType="begin"/>
            </w:r>
            <w:r w:rsidR="00B25712">
              <w:rPr>
                <w:webHidden/>
              </w:rPr>
              <w:instrText xml:space="preserve"> PAGEREF _Toc119421177 \h </w:instrText>
            </w:r>
            <w:r w:rsidR="00B25712">
              <w:rPr>
                <w:webHidden/>
              </w:rPr>
            </w:r>
            <w:r w:rsidR="00B25712">
              <w:rPr>
                <w:webHidden/>
              </w:rPr>
              <w:fldChar w:fldCharType="separate"/>
            </w:r>
            <w:r w:rsidR="00B25712">
              <w:rPr>
                <w:webHidden/>
              </w:rPr>
              <w:t>30</w:t>
            </w:r>
            <w:r w:rsidR="00B25712">
              <w:rPr>
                <w:webHidden/>
              </w:rPr>
              <w:fldChar w:fldCharType="end"/>
            </w:r>
          </w:hyperlink>
        </w:p>
        <w:p w14:paraId="51E9BA64" w14:textId="7F81A693" w:rsidR="00B25712" w:rsidRDefault="00AF1C02">
          <w:pPr>
            <w:pStyle w:val="TJ2"/>
            <w:tabs>
              <w:tab w:val="left" w:pos="880"/>
              <w:tab w:val="right" w:leader="dot" w:pos="8493"/>
            </w:tabs>
            <w:rPr>
              <w:rFonts w:eastAsiaTheme="minorEastAsia"/>
              <w:noProof/>
              <w:lang w:eastAsia="hu-HU"/>
            </w:rPr>
          </w:pPr>
          <w:hyperlink w:anchor="_Toc119421178" w:history="1">
            <w:r w:rsidR="00B25712" w:rsidRPr="005C349B">
              <w:rPr>
                <w:rStyle w:val="Hiperhivatkozs"/>
                <w:rFonts w:ascii="Georgia" w:hAnsi="Georgia" w:cs="Times New Roman"/>
                <w:b/>
                <w:bCs/>
                <w:noProof/>
              </w:rPr>
              <w:t>2.5</w:t>
            </w:r>
            <w:r w:rsidR="00B25712">
              <w:rPr>
                <w:rFonts w:eastAsiaTheme="minorEastAsia"/>
                <w:noProof/>
                <w:lang w:eastAsia="hu-HU"/>
              </w:rPr>
              <w:tab/>
            </w:r>
            <w:r w:rsidR="00B25712" w:rsidRPr="005C349B">
              <w:rPr>
                <w:rStyle w:val="Hiperhivatkozs"/>
                <w:rFonts w:ascii="Georgia" w:hAnsi="Georgia" w:cs="Times New Roman"/>
                <w:b/>
                <w:bCs/>
                <w:noProof/>
              </w:rPr>
              <w:t>Az ESG minősítést végző intézetek bemutatása</w:t>
            </w:r>
            <w:r w:rsidR="00B25712">
              <w:rPr>
                <w:noProof/>
                <w:webHidden/>
              </w:rPr>
              <w:tab/>
            </w:r>
            <w:r w:rsidR="00B25712">
              <w:rPr>
                <w:noProof/>
                <w:webHidden/>
              </w:rPr>
              <w:fldChar w:fldCharType="begin"/>
            </w:r>
            <w:r w:rsidR="00B25712">
              <w:rPr>
                <w:noProof/>
                <w:webHidden/>
              </w:rPr>
              <w:instrText xml:space="preserve"> PAGEREF _Toc119421178 \h </w:instrText>
            </w:r>
            <w:r w:rsidR="00B25712">
              <w:rPr>
                <w:noProof/>
                <w:webHidden/>
              </w:rPr>
            </w:r>
            <w:r w:rsidR="00B25712">
              <w:rPr>
                <w:noProof/>
                <w:webHidden/>
              </w:rPr>
              <w:fldChar w:fldCharType="separate"/>
            </w:r>
            <w:r w:rsidR="00B25712">
              <w:rPr>
                <w:noProof/>
                <w:webHidden/>
              </w:rPr>
              <w:t>32</w:t>
            </w:r>
            <w:r w:rsidR="00B25712">
              <w:rPr>
                <w:noProof/>
                <w:webHidden/>
              </w:rPr>
              <w:fldChar w:fldCharType="end"/>
            </w:r>
          </w:hyperlink>
        </w:p>
        <w:p w14:paraId="0EA07E93" w14:textId="795D0B91" w:rsidR="00B25712" w:rsidRDefault="00AF1C02">
          <w:pPr>
            <w:pStyle w:val="TJ2"/>
            <w:tabs>
              <w:tab w:val="left" w:pos="880"/>
              <w:tab w:val="right" w:leader="dot" w:pos="8493"/>
            </w:tabs>
            <w:rPr>
              <w:rFonts w:eastAsiaTheme="minorEastAsia"/>
              <w:noProof/>
              <w:lang w:eastAsia="hu-HU"/>
            </w:rPr>
          </w:pPr>
          <w:hyperlink w:anchor="_Toc119421179" w:history="1">
            <w:r w:rsidR="00B25712" w:rsidRPr="005C349B">
              <w:rPr>
                <w:rStyle w:val="Hiperhivatkozs"/>
                <w:rFonts w:ascii="Georgia" w:hAnsi="Georgia" w:cs="Times New Roman"/>
                <w:b/>
                <w:bCs/>
                <w:noProof/>
              </w:rPr>
              <w:t>2.6</w:t>
            </w:r>
            <w:r w:rsidR="00B25712">
              <w:rPr>
                <w:rFonts w:eastAsiaTheme="minorEastAsia"/>
                <w:noProof/>
                <w:lang w:eastAsia="hu-HU"/>
              </w:rPr>
              <w:tab/>
            </w:r>
            <w:r w:rsidR="00B25712" w:rsidRPr="005C349B">
              <w:rPr>
                <w:rStyle w:val="Hiperhivatkozs"/>
                <w:rFonts w:ascii="Georgia" w:hAnsi="Georgia" w:cs="Times New Roman"/>
                <w:b/>
                <w:bCs/>
                <w:noProof/>
              </w:rPr>
              <w:t>Az ESG minősítések megbízhatósága</w:t>
            </w:r>
            <w:r w:rsidR="00B25712">
              <w:rPr>
                <w:noProof/>
                <w:webHidden/>
              </w:rPr>
              <w:tab/>
            </w:r>
            <w:r w:rsidR="00B25712">
              <w:rPr>
                <w:noProof/>
                <w:webHidden/>
              </w:rPr>
              <w:fldChar w:fldCharType="begin"/>
            </w:r>
            <w:r w:rsidR="00B25712">
              <w:rPr>
                <w:noProof/>
                <w:webHidden/>
              </w:rPr>
              <w:instrText xml:space="preserve"> PAGEREF _Toc119421179 \h </w:instrText>
            </w:r>
            <w:r w:rsidR="00B25712">
              <w:rPr>
                <w:noProof/>
                <w:webHidden/>
              </w:rPr>
            </w:r>
            <w:r w:rsidR="00B25712">
              <w:rPr>
                <w:noProof/>
                <w:webHidden/>
              </w:rPr>
              <w:fldChar w:fldCharType="separate"/>
            </w:r>
            <w:r w:rsidR="00B25712">
              <w:rPr>
                <w:noProof/>
                <w:webHidden/>
              </w:rPr>
              <w:t>35</w:t>
            </w:r>
            <w:r w:rsidR="00B25712">
              <w:rPr>
                <w:noProof/>
                <w:webHidden/>
              </w:rPr>
              <w:fldChar w:fldCharType="end"/>
            </w:r>
          </w:hyperlink>
        </w:p>
        <w:p w14:paraId="3E2484A0" w14:textId="5C6B8E29" w:rsidR="00B25712" w:rsidRDefault="00AF1C02">
          <w:pPr>
            <w:pStyle w:val="TJ3"/>
            <w:rPr>
              <w:rFonts w:asciiTheme="minorHAnsi" w:eastAsiaTheme="minorEastAsia" w:hAnsiTheme="minorHAnsi" w:cstheme="minorBidi"/>
              <w:b w:val="0"/>
              <w:bCs w:val="0"/>
              <w:lang w:eastAsia="hu-HU"/>
            </w:rPr>
          </w:pPr>
          <w:hyperlink w:anchor="_Toc119421180" w:history="1">
            <w:r w:rsidR="00B25712" w:rsidRPr="005C349B">
              <w:rPr>
                <w:rStyle w:val="Hiperhivatkozs"/>
                <w:rFonts w:ascii="Georgia" w:hAnsi="Georgia"/>
              </w:rPr>
              <w:t>2.6.1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 minősítéshez felhasznált információk megbízhatósága</w:t>
            </w:r>
            <w:r w:rsidR="00B25712">
              <w:rPr>
                <w:webHidden/>
              </w:rPr>
              <w:tab/>
            </w:r>
            <w:r w:rsidR="00B25712">
              <w:rPr>
                <w:webHidden/>
              </w:rPr>
              <w:fldChar w:fldCharType="begin"/>
            </w:r>
            <w:r w:rsidR="00B25712">
              <w:rPr>
                <w:webHidden/>
              </w:rPr>
              <w:instrText xml:space="preserve"> PAGEREF _Toc119421180 \h </w:instrText>
            </w:r>
            <w:r w:rsidR="00B25712">
              <w:rPr>
                <w:webHidden/>
              </w:rPr>
            </w:r>
            <w:r w:rsidR="00B25712">
              <w:rPr>
                <w:webHidden/>
              </w:rPr>
              <w:fldChar w:fldCharType="separate"/>
            </w:r>
            <w:r w:rsidR="00B25712">
              <w:rPr>
                <w:webHidden/>
              </w:rPr>
              <w:t>36</w:t>
            </w:r>
            <w:r w:rsidR="00B25712">
              <w:rPr>
                <w:webHidden/>
              </w:rPr>
              <w:fldChar w:fldCharType="end"/>
            </w:r>
          </w:hyperlink>
        </w:p>
        <w:p w14:paraId="1A00C2F2" w14:textId="195E0C6A" w:rsidR="00B25712" w:rsidRDefault="00AF1C02">
          <w:pPr>
            <w:pStyle w:val="TJ3"/>
            <w:rPr>
              <w:rFonts w:asciiTheme="minorHAnsi" w:eastAsiaTheme="minorEastAsia" w:hAnsiTheme="minorHAnsi" w:cstheme="minorBidi"/>
              <w:b w:val="0"/>
              <w:bCs w:val="0"/>
              <w:lang w:eastAsia="hu-HU"/>
            </w:rPr>
          </w:pPr>
          <w:hyperlink w:anchor="_Toc119421181" w:history="1">
            <w:r w:rsidR="00B25712" w:rsidRPr="005C349B">
              <w:rPr>
                <w:rStyle w:val="Hiperhivatkozs"/>
                <w:rFonts w:ascii="Georgia" w:hAnsi="Georgia"/>
              </w:rPr>
              <w:t>2.6.2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indikátorok megbízhatósága</w:t>
            </w:r>
            <w:r w:rsidR="00B25712">
              <w:rPr>
                <w:webHidden/>
              </w:rPr>
              <w:tab/>
            </w:r>
            <w:r w:rsidR="00B25712">
              <w:rPr>
                <w:webHidden/>
              </w:rPr>
              <w:fldChar w:fldCharType="begin"/>
            </w:r>
            <w:r w:rsidR="00B25712">
              <w:rPr>
                <w:webHidden/>
              </w:rPr>
              <w:instrText xml:space="preserve"> PAGEREF _Toc119421181 \h </w:instrText>
            </w:r>
            <w:r w:rsidR="00B25712">
              <w:rPr>
                <w:webHidden/>
              </w:rPr>
            </w:r>
            <w:r w:rsidR="00B25712">
              <w:rPr>
                <w:webHidden/>
              </w:rPr>
              <w:fldChar w:fldCharType="separate"/>
            </w:r>
            <w:r w:rsidR="00B25712">
              <w:rPr>
                <w:webHidden/>
              </w:rPr>
              <w:t>37</w:t>
            </w:r>
            <w:r w:rsidR="00B25712">
              <w:rPr>
                <w:webHidden/>
              </w:rPr>
              <w:fldChar w:fldCharType="end"/>
            </w:r>
          </w:hyperlink>
        </w:p>
        <w:p w14:paraId="2A438912" w14:textId="3C335D2A" w:rsidR="00B25712" w:rsidRDefault="00AF1C02">
          <w:pPr>
            <w:pStyle w:val="TJ3"/>
            <w:rPr>
              <w:rFonts w:asciiTheme="minorHAnsi" w:eastAsiaTheme="minorEastAsia" w:hAnsiTheme="minorHAnsi" w:cstheme="minorBidi"/>
              <w:b w:val="0"/>
              <w:bCs w:val="0"/>
              <w:lang w:eastAsia="hu-HU"/>
            </w:rPr>
          </w:pPr>
          <w:hyperlink w:anchor="_Toc119421182" w:history="1">
            <w:r w:rsidR="00B25712" w:rsidRPr="005C349B">
              <w:rPr>
                <w:rStyle w:val="Hiperhivatkozs"/>
                <w:rFonts w:ascii="Georgia" w:hAnsi="Georgia"/>
              </w:rPr>
              <w:t>2.6.3</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alkalmazott mérési módszertan megbízhatósága</w:t>
            </w:r>
            <w:r w:rsidR="00B25712">
              <w:rPr>
                <w:webHidden/>
              </w:rPr>
              <w:tab/>
            </w:r>
            <w:r w:rsidR="00B25712">
              <w:rPr>
                <w:webHidden/>
              </w:rPr>
              <w:fldChar w:fldCharType="begin"/>
            </w:r>
            <w:r w:rsidR="00B25712">
              <w:rPr>
                <w:webHidden/>
              </w:rPr>
              <w:instrText xml:space="preserve"> PAGEREF _Toc119421182 \h </w:instrText>
            </w:r>
            <w:r w:rsidR="00B25712">
              <w:rPr>
                <w:webHidden/>
              </w:rPr>
            </w:r>
            <w:r w:rsidR="00B25712">
              <w:rPr>
                <w:webHidden/>
              </w:rPr>
              <w:fldChar w:fldCharType="separate"/>
            </w:r>
            <w:r w:rsidR="00B25712">
              <w:rPr>
                <w:webHidden/>
              </w:rPr>
              <w:t>38</w:t>
            </w:r>
            <w:r w:rsidR="00B25712">
              <w:rPr>
                <w:webHidden/>
              </w:rPr>
              <w:fldChar w:fldCharType="end"/>
            </w:r>
          </w:hyperlink>
        </w:p>
        <w:p w14:paraId="7BEE3221" w14:textId="5E8421D1" w:rsidR="00B25712" w:rsidRDefault="00AF1C02">
          <w:pPr>
            <w:pStyle w:val="TJ3"/>
            <w:rPr>
              <w:rFonts w:asciiTheme="minorHAnsi" w:eastAsiaTheme="minorEastAsia" w:hAnsiTheme="minorHAnsi" w:cstheme="minorBidi"/>
              <w:b w:val="0"/>
              <w:bCs w:val="0"/>
              <w:lang w:eastAsia="hu-HU"/>
            </w:rPr>
          </w:pPr>
          <w:hyperlink w:anchor="_Toc119421183" w:history="1">
            <w:r w:rsidR="00B25712" w:rsidRPr="005C349B">
              <w:rPr>
                <w:rStyle w:val="Hiperhivatkozs"/>
                <w:rFonts w:ascii="Georgia" w:hAnsi="Georgia"/>
              </w:rPr>
              <w:t>2.6.4</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Egyéb megbízhatóságot érintő tényezők</w:t>
            </w:r>
            <w:r w:rsidR="00B25712">
              <w:rPr>
                <w:webHidden/>
              </w:rPr>
              <w:tab/>
            </w:r>
            <w:r w:rsidR="00B25712">
              <w:rPr>
                <w:webHidden/>
              </w:rPr>
              <w:fldChar w:fldCharType="begin"/>
            </w:r>
            <w:r w:rsidR="00B25712">
              <w:rPr>
                <w:webHidden/>
              </w:rPr>
              <w:instrText xml:space="preserve"> PAGEREF _Toc119421183 \h </w:instrText>
            </w:r>
            <w:r w:rsidR="00B25712">
              <w:rPr>
                <w:webHidden/>
              </w:rPr>
            </w:r>
            <w:r w:rsidR="00B25712">
              <w:rPr>
                <w:webHidden/>
              </w:rPr>
              <w:fldChar w:fldCharType="separate"/>
            </w:r>
            <w:r w:rsidR="00B25712">
              <w:rPr>
                <w:webHidden/>
              </w:rPr>
              <w:t>39</w:t>
            </w:r>
            <w:r w:rsidR="00B25712">
              <w:rPr>
                <w:webHidden/>
              </w:rPr>
              <w:fldChar w:fldCharType="end"/>
            </w:r>
          </w:hyperlink>
        </w:p>
        <w:p w14:paraId="7C061DD6" w14:textId="23DFC5B4" w:rsidR="00B25712" w:rsidRDefault="00AF1C02">
          <w:pPr>
            <w:pStyle w:val="TJ3"/>
            <w:rPr>
              <w:rFonts w:asciiTheme="minorHAnsi" w:eastAsiaTheme="minorEastAsia" w:hAnsiTheme="minorHAnsi" w:cstheme="minorBidi"/>
              <w:b w:val="0"/>
              <w:bCs w:val="0"/>
              <w:lang w:eastAsia="hu-HU"/>
            </w:rPr>
          </w:pPr>
          <w:hyperlink w:anchor="_Toc119421184" w:history="1">
            <w:r w:rsidR="00B25712" w:rsidRPr="005C349B">
              <w:rPr>
                <w:rStyle w:val="Hiperhivatkozs"/>
                <w:rFonts w:ascii="Georgia" w:hAnsi="Georgia"/>
              </w:rPr>
              <w:t>2.6.5</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 minősítő cégek megbízhatósága</w:t>
            </w:r>
            <w:r w:rsidR="00B25712">
              <w:rPr>
                <w:webHidden/>
              </w:rPr>
              <w:tab/>
            </w:r>
            <w:r w:rsidR="00B25712">
              <w:rPr>
                <w:webHidden/>
              </w:rPr>
              <w:fldChar w:fldCharType="begin"/>
            </w:r>
            <w:r w:rsidR="00B25712">
              <w:rPr>
                <w:webHidden/>
              </w:rPr>
              <w:instrText xml:space="preserve"> PAGEREF _Toc119421184 \h </w:instrText>
            </w:r>
            <w:r w:rsidR="00B25712">
              <w:rPr>
                <w:webHidden/>
              </w:rPr>
            </w:r>
            <w:r w:rsidR="00B25712">
              <w:rPr>
                <w:webHidden/>
              </w:rPr>
              <w:fldChar w:fldCharType="separate"/>
            </w:r>
            <w:r w:rsidR="00B25712">
              <w:rPr>
                <w:webHidden/>
              </w:rPr>
              <w:t>41</w:t>
            </w:r>
            <w:r w:rsidR="00B25712">
              <w:rPr>
                <w:webHidden/>
              </w:rPr>
              <w:fldChar w:fldCharType="end"/>
            </w:r>
          </w:hyperlink>
        </w:p>
        <w:p w14:paraId="11B392B5" w14:textId="4A884115" w:rsidR="00B25712" w:rsidRDefault="00AF1C02">
          <w:pPr>
            <w:pStyle w:val="TJ1"/>
            <w:rPr>
              <w:rFonts w:asciiTheme="minorHAnsi" w:eastAsiaTheme="minorEastAsia" w:hAnsiTheme="minorHAnsi" w:cstheme="minorBidi"/>
              <w:b w:val="0"/>
              <w:bCs w:val="0"/>
              <w:sz w:val="22"/>
              <w:szCs w:val="22"/>
              <w:lang w:eastAsia="hu-HU"/>
            </w:rPr>
          </w:pPr>
          <w:hyperlink w:anchor="_Toc119421185" w:history="1">
            <w:r w:rsidR="00B25712" w:rsidRPr="005C349B">
              <w:rPr>
                <w:rStyle w:val="Hiperhivatkozs"/>
                <w:rFonts w:ascii="Georgia" w:hAnsi="Georgia"/>
              </w:rPr>
              <w:t>3.</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A KUTATÁS MÓDSZERTANA</w:t>
            </w:r>
            <w:r w:rsidR="00B25712">
              <w:rPr>
                <w:webHidden/>
              </w:rPr>
              <w:tab/>
            </w:r>
            <w:r w:rsidR="00B25712">
              <w:rPr>
                <w:webHidden/>
              </w:rPr>
              <w:fldChar w:fldCharType="begin"/>
            </w:r>
            <w:r w:rsidR="00B25712">
              <w:rPr>
                <w:webHidden/>
              </w:rPr>
              <w:instrText xml:space="preserve"> PAGEREF _Toc119421185 \h </w:instrText>
            </w:r>
            <w:r w:rsidR="00B25712">
              <w:rPr>
                <w:webHidden/>
              </w:rPr>
            </w:r>
            <w:r w:rsidR="00B25712">
              <w:rPr>
                <w:webHidden/>
              </w:rPr>
              <w:fldChar w:fldCharType="separate"/>
            </w:r>
            <w:r w:rsidR="00B25712">
              <w:rPr>
                <w:webHidden/>
              </w:rPr>
              <w:t>43</w:t>
            </w:r>
            <w:r w:rsidR="00B25712">
              <w:rPr>
                <w:webHidden/>
              </w:rPr>
              <w:fldChar w:fldCharType="end"/>
            </w:r>
          </w:hyperlink>
        </w:p>
        <w:p w14:paraId="310FD5E3" w14:textId="6298C038" w:rsidR="00B25712" w:rsidRDefault="00AF1C02">
          <w:pPr>
            <w:pStyle w:val="TJ2"/>
            <w:tabs>
              <w:tab w:val="left" w:pos="880"/>
              <w:tab w:val="right" w:leader="dot" w:pos="8493"/>
            </w:tabs>
            <w:rPr>
              <w:rFonts w:eastAsiaTheme="minorEastAsia"/>
              <w:noProof/>
              <w:lang w:eastAsia="hu-HU"/>
            </w:rPr>
          </w:pPr>
          <w:hyperlink w:anchor="_Toc119421186" w:history="1">
            <w:r w:rsidR="00B25712" w:rsidRPr="005C349B">
              <w:rPr>
                <w:rStyle w:val="Hiperhivatkozs"/>
                <w:rFonts w:ascii="Georgia" w:hAnsi="Georgia" w:cs="Times New Roman"/>
                <w:b/>
                <w:bCs/>
                <w:noProof/>
              </w:rPr>
              <w:t>3.1.</w:t>
            </w:r>
            <w:r w:rsidR="00B25712">
              <w:rPr>
                <w:rFonts w:eastAsiaTheme="minorEastAsia"/>
                <w:noProof/>
                <w:lang w:eastAsia="hu-HU"/>
              </w:rPr>
              <w:tab/>
            </w:r>
            <w:r w:rsidR="00B25712" w:rsidRPr="005C349B">
              <w:rPr>
                <w:rStyle w:val="Hiperhivatkozs"/>
                <w:rFonts w:ascii="Georgia" w:hAnsi="Georgia" w:cs="Times New Roman"/>
                <w:b/>
                <w:bCs/>
                <w:noProof/>
              </w:rPr>
              <w:t>Kutatási kérdések és hipotézisek</w:t>
            </w:r>
            <w:r w:rsidR="00B25712">
              <w:rPr>
                <w:noProof/>
                <w:webHidden/>
              </w:rPr>
              <w:tab/>
            </w:r>
            <w:r w:rsidR="00B25712">
              <w:rPr>
                <w:noProof/>
                <w:webHidden/>
              </w:rPr>
              <w:fldChar w:fldCharType="begin"/>
            </w:r>
            <w:r w:rsidR="00B25712">
              <w:rPr>
                <w:noProof/>
                <w:webHidden/>
              </w:rPr>
              <w:instrText xml:space="preserve"> PAGEREF _Toc119421186 \h </w:instrText>
            </w:r>
            <w:r w:rsidR="00B25712">
              <w:rPr>
                <w:noProof/>
                <w:webHidden/>
              </w:rPr>
            </w:r>
            <w:r w:rsidR="00B25712">
              <w:rPr>
                <w:noProof/>
                <w:webHidden/>
              </w:rPr>
              <w:fldChar w:fldCharType="separate"/>
            </w:r>
            <w:r w:rsidR="00B25712">
              <w:rPr>
                <w:noProof/>
                <w:webHidden/>
              </w:rPr>
              <w:t>43</w:t>
            </w:r>
            <w:r w:rsidR="00B25712">
              <w:rPr>
                <w:noProof/>
                <w:webHidden/>
              </w:rPr>
              <w:fldChar w:fldCharType="end"/>
            </w:r>
          </w:hyperlink>
        </w:p>
        <w:p w14:paraId="478D3EC7" w14:textId="2C4FCC47" w:rsidR="00B25712" w:rsidRDefault="00AF1C02">
          <w:pPr>
            <w:pStyle w:val="TJ2"/>
            <w:tabs>
              <w:tab w:val="left" w:pos="880"/>
              <w:tab w:val="right" w:leader="dot" w:pos="8493"/>
            </w:tabs>
            <w:rPr>
              <w:rFonts w:eastAsiaTheme="minorEastAsia"/>
              <w:noProof/>
              <w:lang w:eastAsia="hu-HU"/>
            </w:rPr>
          </w:pPr>
          <w:hyperlink w:anchor="_Toc119421187" w:history="1">
            <w:r w:rsidR="00B25712" w:rsidRPr="005C349B">
              <w:rPr>
                <w:rStyle w:val="Hiperhivatkozs"/>
                <w:rFonts w:ascii="Georgia" w:hAnsi="Georgia" w:cs="Times New Roman"/>
                <w:b/>
                <w:bCs/>
                <w:noProof/>
              </w:rPr>
              <w:t>3.2.</w:t>
            </w:r>
            <w:r w:rsidR="00B25712">
              <w:rPr>
                <w:rFonts w:eastAsiaTheme="minorEastAsia"/>
                <w:noProof/>
                <w:lang w:eastAsia="hu-HU"/>
              </w:rPr>
              <w:tab/>
            </w:r>
            <w:r w:rsidR="00B25712" w:rsidRPr="005C349B">
              <w:rPr>
                <w:rStyle w:val="Hiperhivatkozs"/>
                <w:rFonts w:ascii="Georgia" w:hAnsi="Georgia" w:cs="Times New Roman"/>
                <w:b/>
                <w:bCs/>
                <w:noProof/>
              </w:rPr>
              <w:t>A kutatás során alkalmazott módszertan</w:t>
            </w:r>
            <w:r w:rsidR="00B25712">
              <w:rPr>
                <w:noProof/>
                <w:webHidden/>
              </w:rPr>
              <w:tab/>
            </w:r>
            <w:r w:rsidR="00B25712">
              <w:rPr>
                <w:noProof/>
                <w:webHidden/>
              </w:rPr>
              <w:fldChar w:fldCharType="begin"/>
            </w:r>
            <w:r w:rsidR="00B25712">
              <w:rPr>
                <w:noProof/>
                <w:webHidden/>
              </w:rPr>
              <w:instrText xml:space="preserve"> PAGEREF _Toc119421187 \h </w:instrText>
            </w:r>
            <w:r w:rsidR="00B25712">
              <w:rPr>
                <w:noProof/>
                <w:webHidden/>
              </w:rPr>
            </w:r>
            <w:r w:rsidR="00B25712">
              <w:rPr>
                <w:noProof/>
                <w:webHidden/>
              </w:rPr>
              <w:fldChar w:fldCharType="separate"/>
            </w:r>
            <w:r w:rsidR="00B25712">
              <w:rPr>
                <w:noProof/>
                <w:webHidden/>
              </w:rPr>
              <w:t>45</w:t>
            </w:r>
            <w:r w:rsidR="00B25712">
              <w:rPr>
                <w:noProof/>
                <w:webHidden/>
              </w:rPr>
              <w:fldChar w:fldCharType="end"/>
            </w:r>
          </w:hyperlink>
        </w:p>
        <w:p w14:paraId="10AE45EB" w14:textId="5A4E3DBA" w:rsidR="00B25712" w:rsidRDefault="00AF1C02">
          <w:pPr>
            <w:pStyle w:val="TJ3"/>
            <w:rPr>
              <w:rFonts w:asciiTheme="minorHAnsi" w:eastAsiaTheme="minorEastAsia" w:hAnsiTheme="minorHAnsi" w:cstheme="minorBidi"/>
              <w:b w:val="0"/>
              <w:bCs w:val="0"/>
              <w:lang w:eastAsia="hu-HU"/>
            </w:rPr>
          </w:pPr>
          <w:hyperlink w:anchor="_Toc119421188" w:history="1">
            <w:r w:rsidR="00B25712" w:rsidRPr="005C349B">
              <w:rPr>
                <w:rStyle w:val="Hiperhivatkozs"/>
                <w:rFonts w:ascii="Georgia" w:hAnsi="Georgia"/>
              </w:rPr>
              <w:t>3.2.1.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ESG minősítések módszertanának tartalomelemzése</w:t>
            </w:r>
            <w:r w:rsidR="00B25712">
              <w:rPr>
                <w:webHidden/>
              </w:rPr>
              <w:tab/>
            </w:r>
            <w:r w:rsidR="00B25712">
              <w:rPr>
                <w:webHidden/>
              </w:rPr>
              <w:fldChar w:fldCharType="begin"/>
            </w:r>
            <w:r w:rsidR="00B25712">
              <w:rPr>
                <w:webHidden/>
              </w:rPr>
              <w:instrText xml:space="preserve"> PAGEREF _Toc119421188 \h </w:instrText>
            </w:r>
            <w:r w:rsidR="00B25712">
              <w:rPr>
                <w:webHidden/>
              </w:rPr>
            </w:r>
            <w:r w:rsidR="00B25712">
              <w:rPr>
                <w:webHidden/>
              </w:rPr>
              <w:fldChar w:fldCharType="separate"/>
            </w:r>
            <w:r w:rsidR="00B25712">
              <w:rPr>
                <w:webHidden/>
              </w:rPr>
              <w:t>45</w:t>
            </w:r>
            <w:r w:rsidR="00B25712">
              <w:rPr>
                <w:webHidden/>
              </w:rPr>
              <w:fldChar w:fldCharType="end"/>
            </w:r>
          </w:hyperlink>
        </w:p>
        <w:p w14:paraId="08BCF1E3" w14:textId="2D0BC61D" w:rsidR="00B25712" w:rsidRDefault="00AF1C02">
          <w:pPr>
            <w:pStyle w:val="TJ3"/>
            <w:rPr>
              <w:rFonts w:asciiTheme="minorHAnsi" w:eastAsiaTheme="minorEastAsia" w:hAnsiTheme="minorHAnsi" w:cstheme="minorBidi"/>
              <w:b w:val="0"/>
              <w:bCs w:val="0"/>
              <w:lang w:eastAsia="hu-HU"/>
            </w:rPr>
          </w:pPr>
          <w:hyperlink w:anchor="_Toc119421189" w:history="1">
            <w:r w:rsidR="00B25712" w:rsidRPr="005C349B">
              <w:rPr>
                <w:rStyle w:val="Hiperhivatkozs"/>
                <w:rFonts w:ascii="Georgia" w:hAnsi="Georgia"/>
              </w:rPr>
              <w:t>3.2.2.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ESG pontszámok közötti kapcsolat vizsgálata</w:t>
            </w:r>
            <w:r w:rsidR="00B25712">
              <w:rPr>
                <w:webHidden/>
              </w:rPr>
              <w:tab/>
            </w:r>
            <w:r w:rsidR="00B25712">
              <w:rPr>
                <w:webHidden/>
              </w:rPr>
              <w:fldChar w:fldCharType="begin"/>
            </w:r>
            <w:r w:rsidR="00B25712">
              <w:rPr>
                <w:webHidden/>
              </w:rPr>
              <w:instrText xml:space="preserve"> PAGEREF _Toc119421189 \h </w:instrText>
            </w:r>
            <w:r w:rsidR="00B25712">
              <w:rPr>
                <w:webHidden/>
              </w:rPr>
            </w:r>
            <w:r w:rsidR="00B25712">
              <w:rPr>
                <w:webHidden/>
              </w:rPr>
              <w:fldChar w:fldCharType="separate"/>
            </w:r>
            <w:r w:rsidR="00B25712">
              <w:rPr>
                <w:webHidden/>
              </w:rPr>
              <w:t>54</w:t>
            </w:r>
            <w:r w:rsidR="00B25712">
              <w:rPr>
                <w:webHidden/>
              </w:rPr>
              <w:fldChar w:fldCharType="end"/>
            </w:r>
          </w:hyperlink>
        </w:p>
        <w:p w14:paraId="539836B4" w14:textId="2FD333B4" w:rsidR="00B25712" w:rsidRDefault="00AF1C02">
          <w:pPr>
            <w:pStyle w:val="TJ3"/>
            <w:rPr>
              <w:rFonts w:asciiTheme="minorHAnsi" w:eastAsiaTheme="minorEastAsia" w:hAnsiTheme="minorHAnsi" w:cstheme="minorBidi"/>
              <w:b w:val="0"/>
              <w:bCs w:val="0"/>
              <w:lang w:eastAsia="hu-HU"/>
            </w:rPr>
          </w:pPr>
          <w:hyperlink w:anchor="_Toc119421190" w:history="1">
            <w:r w:rsidR="00B25712" w:rsidRPr="005C349B">
              <w:rPr>
                <w:rStyle w:val="Hiperhivatkozs"/>
                <w:rFonts w:ascii="Georgia" w:hAnsi="Georgia"/>
              </w:rPr>
              <w:t>3.2.2.1.</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adatgyűjtés és a kiválasztott minta bemutatása</w:t>
            </w:r>
            <w:r w:rsidR="00B25712">
              <w:rPr>
                <w:webHidden/>
              </w:rPr>
              <w:tab/>
            </w:r>
            <w:r w:rsidR="00B25712">
              <w:rPr>
                <w:webHidden/>
              </w:rPr>
              <w:fldChar w:fldCharType="begin"/>
            </w:r>
            <w:r w:rsidR="00B25712">
              <w:rPr>
                <w:webHidden/>
              </w:rPr>
              <w:instrText xml:space="preserve"> PAGEREF _Toc119421190 \h </w:instrText>
            </w:r>
            <w:r w:rsidR="00B25712">
              <w:rPr>
                <w:webHidden/>
              </w:rPr>
            </w:r>
            <w:r w:rsidR="00B25712">
              <w:rPr>
                <w:webHidden/>
              </w:rPr>
              <w:fldChar w:fldCharType="separate"/>
            </w:r>
            <w:r w:rsidR="00B25712">
              <w:rPr>
                <w:webHidden/>
              </w:rPr>
              <w:t>54</w:t>
            </w:r>
            <w:r w:rsidR="00B25712">
              <w:rPr>
                <w:webHidden/>
              </w:rPr>
              <w:fldChar w:fldCharType="end"/>
            </w:r>
          </w:hyperlink>
        </w:p>
        <w:p w14:paraId="11777BCC" w14:textId="4EE8FA3F" w:rsidR="00B25712" w:rsidRDefault="00AF1C02">
          <w:pPr>
            <w:pStyle w:val="TJ3"/>
            <w:rPr>
              <w:rFonts w:asciiTheme="minorHAnsi" w:eastAsiaTheme="minorEastAsia" w:hAnsiTheme="minorHAnsi" w:cstheme="minorBidi"/>
              <w:b w:val="0"/>
              <w:bCs w:val="0"/>
              <w:lang w:eastAsia="hu-HU"/>
            </w:rPr>
          </w:pPr>
          <w:hyperlink w:anchor="_Toc119421191" w:history="1">
            <w:r w:rsidR="00B25712" w:rsidRPr="005C349B">
              <w:rPr>
                <w:rStyle w:val="Hiperhivatkozs"/>
                <w:rFonts w:ascii="Georgia" w:hAnsi="Georgia"/>
              </w:rPr>
              <w:t>3.2.2.2.</w:t>
            </w:r>
            <w:r w:rsidR="00B25712">
              <w:rPr>
                <w:rFonts w:asciiTheme="minorHAnsi" w:eastAsiaTheme="minorEastAsia" w:hAnsiTheme="minorHAnsi" w:cstheme="minorBidi"/>
                <w:b w:val="0"/>
                <w:bCs w:val="0"/>
                <w:lang w:eastAsia="hu-HU"/>
              </w:rPr>
              <w:tab/>
            </w:r>
            <w:r w:rsidR="00B25712" w:rsidRPr="005C349B">
              <w:rPr>
                <w:rStyle w:val="Hiperhivatkozs"/>
                <w:rFonts w:ascii="Georgia" w:hAnsi="Georgia"/>
              </w:rPr>
              <w:t>Az adatok elemzésének módja</w:t>
            </w:r>
            <w:r w:rsidR="00B25712">
              <w:rPr>
                <w:webHidden/>
              </w:rPr>
              <w:tab/>
            </w:r>
            <w:r w:rsidR="00B25712">
              <w:rPr>
                <w:webHidden/>
              </w:rPr>
              <w:fldChar w:fldCharType="begin"/>
            </w:r>
            <w:r w:rsidR="00B25712">
              <w:rPr>
                <w:webHidden/>
              </w:rPr>
              <w:instrText xml:space="preserve"> PAGEREF _Toc119421191 \h </w:instrText>
            </w:r>
            <w:r w:rsidR="00B25712">
              <w:rPr>
                <w:webHidden/>
              </w:rPr>
            </w:r>
            <w:r w:rsidR="00B25712">
              <w:rPr>
                <w:webHidden/>
              </w:rPr>
              <w:fldChar w:fldCharType="separate"/>
            </w:r>
            <w:r w:rsidR="00B25712">
              <w:rPr>
                <w:webHidden/>
              </w:rPr>
              <w:t>59</w:t>
            </w:r>
            <w:r w:rsidR="00B25712">
              <w:rPr>
                <w:webHidden/>
              </w:rPr>
              <w:fldChar w:fldCharType="end"/>
            </w:r>
          </w:hyperlink>
        </w:p>
        <w:p w14:paraId="2FD503DF" w14:textId="480F54BC" w:rsidR="00B25712" w:rsidRDefault="00AF1C02">
          <w:pPr>
            <w:pStyle w:val="TJ1"/>
            <w:rPr>
              <w:rFonts w:asciiTheme="minorHAnsi" w:eastAsiaTheme="minorEastAsia" w:hAnsiTheme="minorHAnsi" w:cstheme="minorBidi"/>
              <w:b w:val="0"/>
              <w:bCs w:val="0"/>
              <w:sz w:val="22"/>
              <w:szCs w:val="22"/>
              <w:lang w:eastAsia="hu-HU"/>
            </w:rPr>
          </w:pPr>
          <w:hyperlink w:anchor="_Toc119421192" w:history="1">
            <w:r w:rsidR="00B25712" w:rsidRPr="005C349B">
              <w:rPr>
                <w:rStyle w:val="Hiperhivatkozs"/>
                <w:rFonts w:ascii="Georgia" w:hAnsi="Georgia"/>
              </w:rPr>
              <w:t>4.</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A KUTATÁS EREDMÉNYEI</w:t>
            </w:r>
            <w:r w:rsidR="00B25712">
              <w:rPr>
                <w:webHidden/>
              </w:rPr>
              <w:tab/>
            </w:r>
            <w:r w:rsidR="00B25712">
              <w:rPr>
                <w:webHidden/>
              </w:rPr>
              <w:fldChar w:fldCharType="begin"/>
            </w:r>
            <w:r w:rsidR="00B25712">
              <w:rPr>
                <w:webHidden/>
              </w:rPr>
              <w:instrText xml:space="preserve"> PAGEREF _Toc119421192 \h </w:instrText>
            </w:r>
            <w:r w:rsidR="00B25712">
              <w:rPr>
                <w:webHidden/>
              </w:rPr>
            </w:r>
            <w:r w:rsidR="00B25712">
              <w:rPr>
                <w:webHidden/>
              </w:rPr>
              <w:fldChar w:fldCharType="separate"/>
            </w:r>
            <w:r w:rsidR="00B25712">
              <w:rPr>
                <w:webHidden/>
              </w:rPr>
              <w:t>62</w:t>
            </w:r>
            <w:r w:rsidR="00B25712">
              <w:rPr>
                <w:webHidden/>
              </w:rPr>
              <w:fldChar w:fldCharType="end"/>
            </w:r>
          </w:hyperlink>
        </w:p>
        <w:p w14:paraId="1A0255C9" w14:textId="010CC935" w:rsidR="00B25712" w:rsidRDefault="00AF1C02">
          <w:pPr>
            <w:pStyle w:val="TJ2"/>
            <w:tabs>
              <w:tab w:val="left" w:pos="880"/>
              <w:tab w:val="right" w:leader="dot" w:pos="8493"/>
            </w:tabs>
            <w:rPr>
              <w:rFonts w:eastAsiaTheme="minorEastAsia"/>
              <w:noProof/>
              <w:lang w:eastAsia="hu-HU"/>
            </w:rPr>
          </w:pPr>
          <w:hyperlink w:anchor="_Toc119421193" w:history="1">
            <w:r w:rsidR="00B25712" w:rsidRPr="005C349B">
              <w:rPr>
                <w:rStyle w:val="Hiperhivatkozs"/>
                <w:rFonts w:ascii="Georgia" w:hAnsi="Georgia" w:cs="Times New Roman"/>
                <w:b/>
                <w:bCs/>
                <w:noProof/>
              </w:rPr>
              <w:t>4.1.</w:t>
            </w:r>
            <w:r w:rsidR="00B25712">
              <w:rPr>
                <w:rFonts w:eastAsiaTheme="minorEastAsia"/>
                <w:noProof/>
                <w:lang w:eastAsia="hu-HU"/>
              </w:rPr>
              <w:tab/>
            </w:r>
            <w:r w:rsidR="00B25712" w:rsidRPr="005C349B">
              <w:rPr>
                <w:rStyle w:val="Hiperhivatkozs"/>
                <w:rFonts w:ascii="Georgia" w:hAnsi="Georgia" w:cs="Times New Roman"/>
                <w:b/>
                <w:bCs/>
                <w:noProof/>
              </w:rPr>
              <w:t>Az ESG minősítés végzők módszertanának eltérései</w:t>
            </w:r>
            <w:r w:rsidR="00B25712">
              <w:rPr>
                <w:noProof/>
                <w:webHidden/>
              </w:rPr>
              <w:tab/>
            </w:r>
            <w:r w:rsidR="00B25712">
              <w:rPr>
                <w:noProof/>
                <w:webHidden/>
              </w:rPr>
              <w:fldChar w:fldCharType="begin"/>
            </w:r>
            <w:r w:rsidR="00B25712">
              <w:rPr>
                <w:noProof/>
                <w:webHidden/>
              </w:rPr>
              <w:instrText xml:space="preserve"> PAGEREF _Toc119421193 \h </w:instrText>
            </w:r>
            <w:r w:rsidR="00B25712">
              <w:rPr>
                <w:noProof/>
                <w:webHidden/>
              </w:rPr>
            </w:r>
            <w:r w:rsidR="00B25712">
              <w:rPr>
                <w:noProof/>
                <w:webHidden/>
              </w:rPr>
              <w:fldChar w:fldCharType="separate"/>
            </w:r>
            <w:r w:rsidR="00B25712">
              <w:rPr>
                <w:noProof/>
                <w:webHidden/>
              </w:rPr>
              <w:t>62</w:t>
            </w:r>
            <w:r w:rsidR="00B25712">
              <w:rPr>
                <w:noProof/>
                <w:webHidden/>
              </w:rPr>
              <w:fldChar w:fldCharType="end"/>
            </w:r>
          </w:hyperlink>
        </w:p>
        <w:p w14:paraId="66A1B657" w14:textId="566BABEE" w:rsidR="00B25712" w:rsidRDefault="00AF1C02">
          <w:pPr>
            <w:pStyle w:val="TJ2"/>
            <w:tabs>
              <w:tab w:val="left" w:pos="880"/>
              <w:tab w:val="right" w:leader="dot" w:pos="8493"/>
            </w:tabs>
            <w:rPr>
              <w:rFonts w:eastAsiaTheme="minorEastAsia"/>
              <w:noProof/>
              <w:lang w:eastAsia="hu-HU"/>
            </w:rPr>
          </w:pPr>
          <w:hyperlink w:anchor="_Toc119421194" w:history="1">
            <w:r w:rsidR="00B25712" w:rsidRPr="005C349B">
              <w:rPr>
                <w:rStyle w:val="Hiperhivatkozs"/>
                <w:rFonts w:ascii="Georgia" w:hAnsi="Georgia" w:cs="Times New Roman"/>
                <w:b/>
                <w:bCs/>
                <w:noProof/>
              </w:rPr>
              <w:t>4.2.</w:t>
            </w:r>
            <w:r w:rsidR="00B25712">
              <w:rPr>
                <w:rFonts w:eastAsiaTheme="minorEastAsia"/>
                <w:noProof/>
                <w:lang w:eastAsia="hu-HU"/>
              </w:rPr>
              <w:tab/>
            </w:r>
            <w:r w:rsidR="00B25712" w:rsidRPr="005C349B">
              <w:rPr>
                <w:rStyle w:val="Hiperhivatkozs"/>
                <w:rFonts w:ascii="Georgia" w:hAnsi="Georgia" w:cs="Times New Roman"/>
                <w:b/>
                <w:bCs/>
                <w:noProof/>
              </w:rPr>
              <w:t>Az ESG pontszámok közötti kapcsolat elemzésének eredményei</w:t>
            </w:r>
            <w:r w:rsidR="00B25712">
              <w:rPr>
                <w:noProof/>
                <w:webHidden/>
              </w:rPr>
              <w:tab/>
            </w:r>
            <w:r w:rsidR="00B25712">
              <w:rPr>
                <w:noProof/>
                <w:webHidden/>
              </w:rPr>
              <w:fldChar w:fldCharType="begin"/>
            </w:r>
            <w:r w:rsidR="00B25712">
              <w:rPr>
                <w:noProof/>
                <w:webHidden/>
              </w:rPr>
              <w:instrText xml:space="preserve"> PAGEREF _Toc119421194 \h </w:instrText>
            </w:r>
            <w:r w:rsidR="00B25712">
              <w:rPr>
                <w:noProof/>
                <w:webHidden/>
              </w:rPr>
            </w:r>
            <w:r w:rsidR="00B25712">
              <w:rPr>
                <w:noProof/>
                <w:webHidden/>
              </w:rPr>
              <w:fldChar w:fldCharType="separate"/>
            </w:r>
            <w:r w:rsidR="00B25712">
              <w:rPr>
                <w:noProof/>
                <w:webHidden/>
              </w:rPr>
              <w:t>70</w:t>
            </w:r>
            <w:r w:rsidR="00B25712">
              <w:rPr>
                <w:noProof/>
                <w:webHidden/>
              </w:rPr>
              <w:fldChar w:fldCharType="end"/>
            </w:r>
          </w:hyperlink>
        </w:p>
        <w:p w14:paraId="64DD1BE4" w14:textId="5431EE42" w:rsidR="00B25712" w:rsidRDefault="00AF1C02">
          <w:pPr>
            <w:pStyle w:val="TJ2"/>
            <w:tabs>
              <w:tab w:val="left" w:pos="880"/>
              <w:tab w:val="right" w:leader="dot" w:pos="8493"/>
            </w:tabs>
            <w:rPr>
              <w:rFonts w:eastAsiaTheme="minorEastAsia"/>
              <w:noProof/>
              <w:lang w:eastAsia="hu-HU"/>
            </w:rPr>
          </w:pPr>
          <w:hyperlink w:anchor="_Toc119421195" w:history="1">
            <w:r w:rsidR="00B25712" w:rsidRPr="005C349B">
              <w:rPr>
                <w:rStyle w:val="Hiperhivatkozs"/>
                <w:rFonts w:ascii="Georgia" w:hAnsi="Georgia" w:cs="Times New Roman"/>
                <w:b/>
                <w:bCs/>
                <w:noProof/>
              </w:rPr>
              <w:t>4.3.</w:t>
            </w:r>
            <w:r w:rsidR="00B25712">
              <w:rPr>
                <w:rFonts w:eastAsiaTheme="minorEastAsia"/>
                <w:noProof/>
                <w:lang w:eastAsia="hu-HU"/>
              </w:rPr>
              <w:tab/>
            </w:r>
            <w:r w:rsidR="00B25712" w:rsidRPr="005C349B">
              <w:rPr>
                <w:rStyle w:val="Hiperhivatkozs"/>
                <w:rFonts w:ascii="Georgia" w:hAnsi="Georgia" w:cs="Times New Roman"/>
                <w:b/>
                <w:bCs/>
                <w:noProof/>
              </w:rPr>
              <w:t>A kutatás korlátai és a lehetséges jövőbeni irányok</w:t>
            </w:r>
            <w:r w:rsidR="00B25712">
              <w:rPr>
                <w:noProof/>
                <w:webHidden/>
              </w:rPr>
              <w:tab/>
            </w:r>
            <w:r w:rsidR="00B25712">
              <w:rPr>
                <w:noProof/>
                <w:webHidden/>
              </w:rPr>
              <w:fldChar w:fldCharType="begin"/>
            </w:r>
            <w:r w:rsidR="00B25712">
              <w:rPr>
                <w:noProof/>
                <w:webHidden/>
              </w:rPr>
              <w:instrText xml:space="preserve"> PAGEREF _Toc119421195 \h </w:instrText>
            </w:r>
            <w:r w:rsidR="00B25712">
              <w:rPr>
                <w:noProof/>
                <w:webHidden/>
              </w:rPr>
            </w:r>
            <w:r w:rsidR="00B25712">
              <w:rPr>
                <w:noProof/>
                <w:webHidden/>
              </w:rPr>
              <w:fldChar w:fldCharType="separate"/>
            </w:r>
            <w:r w:rsidR="00B25712">
              <w:rPr>
                <w:noProof/>
                <w:webHidden/>
              </w:rPr>
              <w:t>78</w:t>
            </w:r>
            <w:r w:rsidR="00B25712">
              <w:rPr>
                <w:noProof/>
                <w:webHidden/>
              </w:rPr>
              <w:fldChar w:fldCharType="end"/>
            </w:r>
          </w:hyperlink>
        </w:p>
        <w:p w14:paraId="1183F670" w14:textId="3B1C7A3F" w:rsidR="00B25712" w:rsidRDefault="00AF1C02">
          <w:pPr>
            <w:pStyle w:val="TJ1"/>
            <w:rPr>
              <w:rFonts w:asciiTheme="minorHAnsi" w:eastAsiaTheme="minorEastAsia" w:hAnsiTheme="minorHAnsi" w:cstheme="minorBidi"/>
              <w:b w:val="0"/>
              <w:bCs w:val="0"/>
              <w:sz w:val="22"/>
              <w:szCs w:val="22"/>
              <w:lang w:eastAsia="hu-HU"/>
            </w:rPr>
          </w:pPr>
          <w:hyperlink w:anchor="_Toc119421196" w:history="1">
            <w:r w:rsidR="00B25712" w:rsidRPr="005C349B">
              <w:rPr>
                <w:rStyle w:val="Hiperhivatkozs"/>
                <w:rFonts w:ascii="Georgia" w:hAnsi="Georgia"/>
              </w:rPr>
              <w:t>5.</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ÖSSZEGZÉS</w:t>
            </w:r>
            <w:r w:rsidR="00B25712">
              <w:rPr>
                <w:webHidden/>
              </w:rPr>
              <w:tab/>
            </w:r>
            <w:r w:rsidR="00B25712">
              <w:rPr>
                <w:webHidden/>
              </w:rPr>
              <w:fldChar w:fldCharType="begin"/>
            </w:r>
            <w:r w:rsidR="00B25712">
              <w:rPr>
                <w:webHidden/>
              </w:rPr>
              <w:instrText xml:space="preserve"> PAGEREF _Toc119421196 \h </w:instrText>
            </w:r>
            <w:r w:rsidR="00B25712">
              <w:rPr>
                <w:webHidden/>
              </w:rPr>
            </w:r>
            <w:r w:rsidR="00B25712">
              <w:rPr>
                <w:webHidden/>
              </w:rPr>
              <w:fldChar w:fldCharType="separate"/>
            </w:r>
            <w:r w:rsidR="00B25712">
              <w:rPr>
                <w:webHidden/>
              </w:rPr>
              <w:t>79</w:t>
            </w:r>
            <w:r w:rsidR="00B25712">
              <w:rPr>
                <w:webHidden/>
              </w:rPr>
              <w:fldChar w:fldCharType="end"/>
            </w:r>
          </w:hyperlink>
        </w:p>
        <w:p w14:paraId="0E91DCCA" w14:textId="56FA9695" w:rsidR="00B25712" w:rsidRDefault="00AF1C02">
          <w:pPr>
            <w:pStyle w:val="TJ1"/>
            <w:rPr>
              <w:rFonts w:asciiTheme="minorHAnsi" w:eastAsiaTheme="minorEastAsia" w:hAnsiTheme="minorHAnsi" w:cstheme="minorBidi"/>
              <w:b w:val="0"/>
              <w:bCs w:val="0"/>
              <w:sz w:val="22"/>
              <w:szCs w:val="22"/>
              <w:lang w:eastAsia="hu-HU"/>
            </w:rPr>
          </w:pPr>
          <w:hyperlink w:anchor="_Toc119421197" w:history="1">
            <w:r w:rsidR="00B25712" w:rsidRPr="005C349B">
              <w:rPr>
                <w:rStyle w:val="Hiperhivatkozs"/>
                <w:rFonts w:ascii="Georgia" w:hAnsi="Georgia"/>
              </w:rPr>
              <w:t>6.</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IRODALOMJEGYZÉK</w:t>
            </w:r>
            <w:r w:rsidR="00B25712">
              <w:rPr>
                <w:webHidden/>
              </w:rPr>
              <w:tab/>
            </w:r>
            <w:r w:rsidR="00B25712">
              <w:rPr>
                <w:webHidden/>
              </w:rPr>
              <w:fldChar w:fldCharType="begin"/>
            </w:r>
            <w:r w:rsidR="00B25712">
              <w:rPr>
                <w:webHidden/>
              </w:rPr>
              <w:instrText xml:space="preserve"> PAGEREF _Toc119421197 \h </w:instrText>
            </w:r>
            <w:r w:rsidR="00B25712">
              <w:rPr>
                <w:webHidden/>
              </w:rPr>
            </w:r>
            <w:r w:rsidR="00B25712">
              <w:rPr>
                <w:webHidden/>
              </w:rPr>
              <w:fldChar w:fldCharType="separate"/>
            </w:r>
            <w:r w:rsidR="00B25712">
              <w:rPr>
                <w:webHidden/>
              </w:rPr>
              <w:t>81</w:t>
            </w:r>
            <w:r w:rsidR="00B25712">
              <w:rPr>
                <w:webHidden/>
              </w:rPr>
              <w:fldChar w:fldCharType="end"/>
            </w:r>
          </w:hyperlink>
        </w:p>
        <w:p w14:paraId="0CCFEA68" w14:textId="02423EDB" w:rsidR="00B25712" w:rsidRDefault="00AF1C02">
          <w:pPr>
            <w:pStyle w:val="TJ1"/>
            <w:rPr>
              <w:rFonts w:asciiTheme="minorHAnsi" w:eastAsiaTheme="minorEastAsia" w:hAnsiTheme="minorHAnsi" w:cstheme="minorBidi"/>
              <w:b w:val="0"/>
              <w:bCs w:val="0"/>
              <w:sz w:val="22"/>
              <w:szCs w:val="22"/>
              <w:lang w:eastAsia="hu-HU"/>
            </w:rPr>
          </w:pPr>
          <w:hyperlink w:anchor="_Toc119421198" w:history="1">
            <w:r w:rsidR="00B25712" w:rsidRPr="005C349B">
              <w:rPr>
                <w:rStyle w:val="Hiperhivatkozs"/>
                <w:rFonts w:ascii="Georgia" w:hAnsi="Georgia"/>
              </w:rPr>
              <w:t>7.</w:t>
            </w:r>
            <w:r w:rsidR="00B25712">
              <w:rPr>
                <w:rFonts w:asciiTheme="minorHAnsi" w:eastAsiaTheme="minorEastAsia" w:hAnsiTheme="minorHAnsi" w:cstheme="minorBidi"/>
                <w:b w:val="0"/>
                <w:bCs w:val="0"/>
                <w:sz w:val="22"/>
                <w:szCs w:val="22"/>
                <w:lang w:eastAsia="hu-HU"/>
              </w:rPr>
              <w:tab/>
            </w:r>
            <w:r w:rsidR="00B25712" w:rsidRPr="005C349B">
              <w:rPr>
                <w:rStyle w:val="Hiperhivatkozs"/>
                <w:rFonts w:ascii="Georgia" w:hAnsi="Georgia"/>
              </w:rPr>
              <w:t>MELLÉKLETEK</w:t>
            </w:r>
            <w:r w:rsidR="00B25712">
              <w:rPr>
                <w:webHidden/>
              </w:rPr>
              <w:tab/>
            </w:r>
            <w:r w:rsidR="00B25712">
              <w:rPr>
                <w:webHidden/>
              </w:rPr>
              <w:fldChar w:fldCharType="begin"/>
            </w:r>
            <w:r w:rsidR="00B25712">
              <w:rPr>
                <w:webHidden/>
              </w:rPr>
              <w:instrText xml:space="preserve"> PAGEREF _Toc119421198 \h </w:instrText>
            </w:r>
            <w:r w:rsidR="00B25712">
              <w:rPr>
                <w:webHidden/>
              </w:rPr>
            </w:r>
            <w:r w:rsidR="00B25712">
              <w:rPr>
                <w:webHidden/>
              </w:rPr>
              <w:fldChar w:fldCharType="separate"/>
            </w:r>
            <w:r w:rsidR="00B25712">
              <w:rPr>
                <w:webHidden/>
              </w:rPr>
              <w:t>90</w:t>
            </w:r>
            <w:r w:rsidR="00B25712">
              <w:rPr>
                <w:webHidden/>
              </w:rPr>
              <w:fldChar w:fldCharType="end"/>
            </w:r>
          </w:hyperlink>
        </w:p>
        <w:p w14:paraId="5853F672" w14:textId="1F605407" w:rsidR="000C608A" w:rsidRPr="007E723C" w:rsidRDefault="000C608A" w:rsidP="00510FC8">
          <w:pPr>
            <w:spacing w:line="360" w:lineRule="auto"/>
            <w:rPr>
              <w:rFonts w:ascii="Georgia" w:hAnsi="Georgia" w:cs="Times New Roman"/>
              <w:sz w:val="24"/>
              <w:szCs w:val="24"/>
            </w:rPr>
          </w:pPr>
          <w:r w:rsidRPr="007E723C">
            <w:rPr>
              <w:rFonts w:ascii="Georgia" w:hAnsi="Georgia" w:cs="Times New Roman"/>
              <w:b/>
              <w:bCs/>
              <w:sz w:val="24"/>
              <w:szCs w:val="24"/>
            </w:rPr>
            <w:fldChar w:fldCharType="end"/>
          </w:r>
        </w:p>
      </w:sdtContent>
    </w:sdt>
    <w:p w14:paraId="59D479A6" w14:textId="77777777" w:rsidR="0035351E" w:rsidRDefault="0035351E">
      <w:pPr>
        <w:rPr>
          <w:rFonts w:ascii="Georgia" w:hAnsi="Georgia" w:cs="Times New Roman"/>
          <w:b/>
          <w:bCs/>
          <w:sz w:val="24"/>
          <w:szCs w:val="24"/>
        </w:rPr>
        <w:sectPr w:rsidR="0035351E" w:rsidSect="0035351E">
          <w:footerReference w:type="default" r:id="rId8"/>
          <w:footerReference w:type="first" r:id="rId9"/>
          <w:pgSz w:w="11906" w:h="16838"/>
          <w:pgMar w:top="1418" w:right="1418" w:bottom="1418" w:left="1418" w:header="709" w:footer="709" w:gutter="567"/>
          <w:pgNumType w:start="0"/>
          <w:cols w:space="708"/>
          <w:titlePg/>
          <w:docGrid w:linePitch="360"/>
        </w:sectPr>
      </w:pPr>
    </w:p>
    <w:p w14:paraId="7FEBDD52" w14:textId="128A36FB" w:rsidR="005920E9" w:rsidRDefault="00F80EA2" w:rsidP="008D398B">
      <w:pPr>
        <w:pStyle w:val="Cmsor1"/>
        <w:numPr>
          <w:ilvl w:val="0"/>
          <w:numId w:val="1"/>
        </w:numPr>
        <w:spacing w:after="240"/>
        <w:ind w:left="357" w:hanging="357"/>
        <w:rPr>
          <w:rFonts w:ascii="Georgia" w:hAnsi="Georgia" w:cs="Times New Roman"/>
          <w:b/>
          <w:bCs/>
          <w:color w:val="auto"/>
          <w:sz w:val="24"/>
          <w:szCs w:val="24"/>
        </w:rPr>
      </w:pPr>
      <w:bookmarkStart w:id="3" w:name="_Toc119421162"/>
      <w:r w:rsidRPr="007E723C">
        <w:rPr>
          <w:rFonts w:ascii="Georgia" w:hAnsi="Georgia" w:cs="Times New Roman"/>
          <w:b/>
          <w:bCs/>
          <w:color w:val="auto"/>
          <w:sz w:val="24"/>
          <w:szCs w:val="24"/>
        </w:rPr>
        <w:lastRenderedPageBreak/>
        <w:t>BEVEZETÉS</w:t>
      </w:r>
      <w:bookmarkEnd w:id="3"/>
    </w:p>
    <w:p w14:paraId="6D6BF95C" w14:textId="107C412B"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 xml:space="preserve">Az elmúlt időszakban már nemcsak a hétköznapi életben, hanem a vállalatok működésében, stratégiájában is egyre nagyobb szerephez jutnak a fentarthatósággal kapcsolatos és a fenntartható fejlődésre irányuló intézkedések. Nem véletlen, hogy a CSR, vagyis a vállalati társadalmi felelősségvállalás mára már az üzleti tevékenység általános részévé vált, </w:t>
      </w:r>
      <w:r w:rsidR="00DB529F">
        <w:rPr>
          <w:rFonts w:ascii="Georgia" w:hAnsi="Georgia"/>
          <w:sz w:val="24"/>
          <w:szCs w:val="24"/>
        </w:rPr>
        <w:t>a</w:t>
      </w:r>
      <w:r w:rsidRPr="00145994">
        <w:rPr>
          <w:rFonts w:ascii="Georgia" w:hAnsi="Georgia"/>
          <w:sz w:val="24"/>
          <w:szCs w:val="24"/>
        </w:rPr>
        <w:t>mely megnyilvánulhat akár környezetvédelemmel kapcsolatos önkéntes akciók vagy a munkavállalók jólétének növelése érdekében tett intézkedések formájában is.</w:t>
      </w:r>
    </w:p>
    <w:p w14:paraId="624A3F12" w14:textId="77777777"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 xml:space="preserve">A fenntarthatóság üzleti életben való megjelenésének köszönhetően egyre több piaci szereplőt foglalkoztatnak a környezeti, társadalmi és vállalatirányítási szempontokat is tömörítő ESG minősítések. Számvitelesként elsősorban arra koncentrálunk, hogy egy adott vállalatról szóló jelentések, beszámolók, minősítések valós és megbízható képet mutassanak. A fenntarthatóságról szóló közzétételek szintjén ez azért is fontos, mert egyre gyakoribb a zöldrefestés jelensége, amikor a vállalatok próbálnak fenntarthatónak tűnni. Ilyen formán pedig az ESG minősítéseknek, melyeket külső értékelő cégek készítenek, az kellene, hogy legyen a célja, hogy objektív képet fessenek a vállalatok fenntarthatósági teljesítményéről. </w:t>
      </w:r>
    </w:p>
    <w:p w14:paraId="55629118" w14:textId="77777777"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 xml:space="preserve">Az ESG területén megfigyelhető tendenciák is azt mutatják, hogy szükség van arra, hogy a vállalatok fenntarthatósági teljesítményéről megbízható és valós információk álljanak rendelkezésre. Az utóbbi időkben befektetői oldalról egyre nagyobb igény mutatkozik arra, hogy a vállalatokról az általános pénzügyi adatok mellett átlátható és világos nem pénzügyi adatok is elérhetőek legyenek. Ennek a növekvő keresletnek a hatására az ESG minősítők piacán egyre több szereplő, egyre inkább szerteágazó módszertanokat követve jelent meg, ami fokozódó piaci versenyhez vezetett. Ebben a versengő környezetben a minősítő cégek egyik versenyelőnye pont abból származhat, ha sajátos módszertanukat követve egy-egy vállalatot valamelyest eltérően, esetlegesen kedvezőbben értékelnek, mint más minősítők. A szabályozói oldalon mutatkozó rugalmasság teret is enged ennek, hiszen az ESG-vel kapcsolatos közzétételek, így a minősítések mögött meghúzódó módszertan tekintetében sincs egy általánosan elfogadott és bevett gyakorlat, ami szabályozó erővel bírna. Így egy potenciális befektető számára problémás lehet, hogy hogyan igazodjon el a különböző skálák, minősítések </w:t>
      </w:r>
      <w:r w:rsidRPr="00145994">
        <w:rPr>
          <w:rFonts w:ascii="Georgia" w:hAnsi="Georgia"/>
          <w:sz w:val="24"/>
          <w:szCs w:val="24"/>
        </w:rPr>
        <w:lastRenderedPageBreak/>
        <w:t>között, melyiket érdemes figyelembe vennie, és egyáltalán azonos döntésre jut-e, ha más-más ESG minősítést mérlegel.</w:t>
      </w:r>
    </w:p>
    <w:p w14:paraId="416533B7" w14:textId="0C753B9F"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A felvázolt tendenciák és bizonytalanságok vezetnek el ahhoz a kérdéshez, hogy tulajdonképpen mennyiben tekinthetők megbízhatónak a különböző ESG minősítők által kiadott pontszámok, és mennyiben biztosítanak ezek megbízható alapot egy esetleges befektetési vagy finanszírozási döntéshez?</w:t>
      </w:r>
    </w:p>
    <w:p w14:paraId="627DBFD5" w14:textId="5B8A6A4C"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Kutatás</w:t>
      </w:r>
      <w:r w:rsidR="00DB529F">
        <w:rPr>
          <w:rFonts w:ascii="Georgia" w:hAnsi="Georgia"/>
          <w:sz w:val="24"/>
          <w:szCs w:val="24"/>
        </w:rPr>
        <w:t>unk</w:t>
      </w:r>
      <w:r w:rsidRPr="00145994">
        <w:rPr>
          <w:rFonts w:ascii="Georgia" w:hAnsi="Georgia"/>
          <w:sz w:val="24"/>
          <w:szCs w:val="24"/>
        </w:rPr>
        <w:t xml:space="preserve"> középpontjában éppen ezért az áll, hogy választ adj</w:t>
      </w:r>
      <w:r w:rsidR="00DB529F">
        <w:rPr>
          <w:rFonts w:ascii="Georgia" w:hAnsi="Georgia"/>
          <w:sz w:val="24"/>
          <w:szCs w:val="24"/>
        </w:rPr>
        <w:t>unk</w:t>
      </w:r>
      <w:r w:rsidRPr="00145994">
        <w:rPr>
          <w:rFonts w:ascii="Georgia" w:hAnsi="Georgia"/>
          <w:sz w:val="24"/>
          <w:szCs w:val="24"/>
        </w:rPr>
        <w:t xml:space="preserve">k a fenti kérdésekre. Ehhez egy kvalitatív tartalomelemzés formájában kísérletet teszek arra, hogy feltárjam az ESG minősítést végző társaságok által alkalmazott mérési metodikák főbb eltéréseit. Majd egy kvantitatív elemzés keretében az ESG pontszámok megbízhatóságának számszerű mérésére vállalkozom.  </w:t>
      </w:r>
    </w:p>
    <w:p w14:paraId="0D352BBE" w14:textId="1115A1B4"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Bár a nemzetközi szakirodalom nagy számban találhatók a vállalatok környezeti és társadalmi felelősségvállalásával, az ESG szemlélet megjelenésével és ennek a vállalati működésre, pénzügyi mutatókra mért hatásaival foglalkozó kutatások, magyar vonatkozásban ez sajnos egyáltalán nem igaz. Kutatás</w:t>
      </w:r>
      <w:r w:rsidR="00DB529F">
        <w:rPr>
          <w:rFonts w:ascii="Georgia" w:hAnsi="Georgia"/>
          <w:sz w:val="24"/>
          <w:szCs w:val="24"/>
        </w:rPr>
        <w:t>unk</w:t>
      </w:r>
      <w:r w:rsidRPr="00145994">
        <w:rPr>
          <w:rFonts w:ascii="Georgia" w:hAnsi="Georgia"/>
          <w:sz w:val="24"/>
          <w:szCs w:val="24"/>
        </w:rPr>
        <w:t xml:space="preserve"> relevanciáját tehát a fentebb említett tendenciák mellett az is indokolja, hogy a magyar szakirodalom ezen a kutatási területen jelentős hiányoságokkal küzd, hiszen egy-egy publikációt leszámítva egyetlen hazai kutatás sem irányult az ESG minősítések megbízhatóságának mérésére. Így kutatás</w:t>
      </w:r>
      <w:r w:rsidR="00DB529F">
        <w:rPr>
          <w:rFonts w:ascii="Georgia" w:hAnsi="Georgia"/>
          <w:sz w:val="24"/>
          <w:szCs w:val="24"/>
        </w:rPr>
        <w:t>unkk</w:t>
      </w:r>
      <w:r w:rsidRPr="00145994">
        <w:rPr>
          <w:rFonts w:ascii="Georgia" w:hAnsi="Georgia"/>
          <w:sz w:val="24"/>
          <w:szCs w:val="24"/>
        </w:rPr>
        <w:t>al éppen ezt az űrt kíván</w:t>
      </w:r>
      <w:r w:rsidR="00DB529F">
        <w:rPr>
          <w:rFonts w:ascii="Georgia" w:hAnsi="Georgia"/>
          <w:sz w:val="24"/>
          <w:szCs w:val="24"/>
        </w:rPr>
        <w:t>juk</w:t>
      </w:r>
      <w:r w:rsidRPr="00145994">
        <w:rPr>
          <w:rFonts w:ascii="Georgia" w:hAnsi="Georgia"/>
          <w:sz w:val="24"/>
          <w:szCs w:val="24"/>
        </w:rPr>
        <w:t xml:space="preserve"> betölteni.</w:t>
      </w:r>
    </w:p>
    <w:p w14:paraId="4BDBD7F0" w14:textId="17BACD3B"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Dolgozat felépítését tekintve 3 fő részre tagolódik. A bevezetést követő fejezetben a nemzetközi és magyar szakirodalomban található publikációk révén a dolgozat elméleti hátterének ismertetésére kerül sor. Emellett a fejezet további célja kutatás</w:t>
      </w:r>
      <w:r w:rsidR="00DB529F">
        <w:rPr>
          <w:rFonts w:ascii="Georgia" w:hAnsi="Georgia"/>
          <w:sz w:val="24"/>
          <w:szCs w:val="24"/>
        </w:rPr>
        <w:t>unk</w:t>
      </w:r>
      <w:r w:rsidRPr="00145994">
        <w:rPr>
          <w:rFonts w:ascii="Georgia" w:hAnsi="Georgia"/>
          <w:sz w:val="24"/>
          <w:szCs w:val="24"/>
        </w:rPr>
        <w:t xml:space="preserve"> megalapozottságának bebizonyítása és az eredmények értelmezéséhez szükséges elméleti keretrendszer ismertetése is. </w:t>
      </w:r>
    </w:p>
    <w:p w14:paraId="4BF7E9B4" w14:textId="77777777" w:rsidR="00145994" w:rsidRPr="00145994" w:rsidRDefault="00145994" w:rsidP="00145994">
      <w:pPr>
        <w:spacing w:line="360" w:lineRule="auto"/>
        <w:ind w:firstLine="709"/>
        <w:jc w:val="both"/>
        <w:rPr>
          <w:rFonts w:ascii="Georgia" w:hAnsi="Georgia"/>
          <w:sz w:val="24"/>
          <w:szCs w:val="24"/>
        </w:rPr>
      </w:pPr>
      <w:r w:rsidRPr="00145994">
        <w:rPr>
          <w:rFonts w:ascii="Georgia" w:hAnsi="Georgia"/>
          <w:sz w:val="24"/>
          <w:szCs w:val="24"/>
        </w:rPr>
        <w:t xml:space="preserve">A harmadik fejezet a kutatás során alkalmazott módszertan bemutatását szolgálja. Többek között itt kerül majd sor a relevánsnak vélt ESG minősítést végző társaságok bemutatására, és az általuk alkalmazott mérési metodológia ismertetésére is. Majd a kvantitatív kutatás módszertani hátterének megalapozását követően a vizsgált minta jellemzésével zárom a fejezetet. </w:t>
      </w:r>
    </w:p>
    <w:p w14:paraId="5B6C07E9" w14:textId="00CD7E3A" w:rsidR="00145994" w:rsidRPr="00145994" w:rsidRDefault="00145994" w:rsidP="00145994">
      <w:pPr>
        <w:spacing w:line="360" w:lineRule="auto"/>
        <w:ind w:firstLine="357"/>
        <w:jc w:val="both"/>
      </w:pPr>
      <w:r w:rsidRPr="00145994">
        <w:rPr>
          <w:rFonts w:ascii="Georgia" w:hAnsi="Georgia"/>
          <w:sz w:val="24"/>
          <w:szCs w:val="24"/>
        </w:rPr>
        <w:t xml:space="preserve">A negyedik fejezet az általam megfogalmazott kutatási kérdések megválaszolása és az előzetesen tett feltételezések elfogadása/elutasítása köré </w:t>
      </w:r>
      <w:r w:rsidRPr="00145994">
        <w:rPr>
          <w:rFonts w:ascii="Georgia" w:hAnsi="Georgia"/>
          <w:sz w:val="24"/>
          <w:szCs w:val="24"/>
        </w:rPr>
        <w:lastRenderedPageBreak/>
        <w:t>épül. Ennek megfelelően választ kívánok adni egyrészt arra, hogy milyen kapcsolat húzódik a vizsgált ESG minősítést végző társaságok által közzétett pontszámok között, másrészt megkísérlem feltárni az ESG egyes dimenziói, illetve az az előzetesen kiválasztott iparágak mentén megfigyelhető eltéréseket is. A fejezet utolsó szakaszában pedig a pontszámok megbízhatóságát érintő további két tényező, a vállalatméret és a földrajzi elhelyezkedés ESG pontszámokra mért hatásának azonosítására teszek kísérletet</w:t>
      </w:r>
      <w:r>
        <w:t>.</w:t>
      </w:r>
    </w:p>
    <w:p w14:paraId="06A29950" w14:textId="77777777" w:rsidR="008D3117" w:rsidRPr="007E723C" w:rsidRDefault="008D3117">
      <w:pPr>
        <w:rPr>
          <w:rFonts w:ascii="Georgia" w:eastAsiaTheme="majorEastAsia" w:hAnsi="Georgia" w:cs="Times New Roman"/>
          <w:b/>
          <w:bCs/>
          <w:sz w:val="24"/>
          <w:szCs w:val="24"/>
        </w:rPr>
      </w:pPr>
      <w:r w:rsidRPr="007E723C">
        <w:rPr>
          <w:rFonts w:ascii="Georgia" w:hAnsi="Georgia" w:cs="Times New Roman"/>
          <w:b/>
          <w:bCs/>
          <w:sz w:val="24"/>
          <w:szCs w:val="24"/>
        </w:rPr>
        <w:br w:type="page"/>
      </w:r>
    </w:p>
    <w:p w14:paraId="62978A63" w14:textId="3B20AF63" w:rsidR="000C608A" w:rsidRDefault="00F80EA2" w:rsidP="008D398B">
      <w:pPr>
        <w:pStyle w:val="Cmsor1"/>
        <w:numPr>
          <w:ilvl w:val="0"/>
          <w:numId w:val="1"/>
        </w:numPr>
        <w:spacing w:after="240"/>
        <w:ind w:left="357" w:hanging="357"/>
        <w:rPr>
          <w:rFonts w:ascii="Georgia" w:hAnsi="Georgia" w:cs="Times New Roman"/>
          <w:b/>
          <w:bCs/>
          <w:color w:val="auto"/>
          <w:sz w:val="24"/>
          <w:szCs w:val="24"/>
        </w:rPr>
      </w:pPr>
      <w:bookmarkStart w:id="4" w:name="_Toc119421163"/>
      <w:r w:rsidRPr="007E723C">
        <w:rPr>
          <w:rFonts w:ascii="Georgia" w:hAnsi="Georgia" w:cs="Times New Roman"/>
          <w:b/>
          <w:bCs/>
          <w:color w:val="auto"/>
          <w:sz w:val="24"/>
          <w:szCs w:val="24"/>
        </w:rPr>
        <w:lastRenderedPageBreak/>
        <w:t>SZAKIRODALMI</w:t>
      </w:r>
      <w:r w:rsidR="005920E9" w:rsidRPr="007E723C">
        <w:rPr>
          <w:rFonts w:ascii="Georgia" w:hAnsi="Georgia" w:cs="Times New Roman"/>
          <w:b/>
          <w:bCs/>
          <w:color w:val="auto"/>
          <w:sz w:val="24"/>
          <w:szCs w:val="24"/>
        </w:rPr>
        <w:t xml:space="preserve"> </w:t>
      </w:r>
      <w:r w:rsidRPr="007E723C">
        <w:rPr>
          <w:rFonts w:ascii="Georgia" w:hAnsi="Georgia" w:cs="Times New Roman"/>
          <w:b/>
          <w:bCs/>
          <w:color w:val="auto"/>
          <w:sz w:val="24"/>
          <w:szCs w:val="24"/>
        </w:rPr>
        <w:t>ÁTTEKINTÉS</w:t>
      </w:r>
      <w:bookmarkEnd w:id="4"/>
    </w:p>
    <w:p w14:paraId="6FF52D72" w14:textId="15F9F451" w:rsidR="008D398B" w:rsidRPr="008D398B" w:rsidRDefault="008D398B" w:rsidP="008D398B">
      <w:pPr>
        <w:spacing w:line="360" w:lineRule="auto"/>
        <w:ind w:firstLine="709"/>
        <w:jc w:val="both"/>
        <w:rPr>
          <w:rFonts w:ascii="Georgia" w:hAnsi="Georgia"/>
          <w:sz w:val="24"/>
          <w:szCs w:val="24"/>
        </w:rPr>
      </w:pPr>
      <w:r w:rsidRPr="008D398B">
        <w:rPr>
          <w:rFonts w:ascii="Georgia" w:hAnsi="Georgia"/>
          <w:sz w:val="24"/>
          <w:szCs w:val="24"/>
        </w:rPr>
        <w:t>Jelen fejezet azt a célt szolgálja, hogy ismertesse a dolgozatban megjelenő fogalmak elméleti hátterét és a szakirodalomban fellelhető publikációk segítségével bizonyítsa ezek megalapozottságát. Mindemellett egy olyan fogalmi keretet kíván létrehozni, mely lehetővé teszi a kutatás eredményeinek átfogó értelmezését, illetve következtetések megfogalmazását. A fejezet hat alfejezetre tagolódik, melyek mindegyike egy-egy lépéssel közelebb visz az ESG minősítésekhez, valamint a minősítéseket készítő vállalatok megismeréséhez, így a minősítések megértéséhez és a megbízhatóságukat befolyásoló tényezőkhöz is. Elsőként a fenntarthatóság meghatározására, illetve üzleti jelentőségére térek ki. Majd a befektetői oldal érintettségének bemutatása után a figyelem fókuszába a magát az ESG szemléletet és az ezzel kapcsolatos közzétételeket helyezem. A szabályozói oldalon megfigyelhető tendenciák, kiadott irányelvek és szabványok segítségével érzékeltetem azt a szabályozói rugalmasságot, ami végső soron a minősítések megbízhatóságát is érinti. Ezután pedig a kutatás</w:t>
      </w:r>
      <w:r w:rsidR="00DB529F">
        <w:rPr>
          <w:rFonts w:ascii="Georgia" w:hAnsi="Georgia"/>
          <w:sz w:val="24"/>
          <w:szCs w:val="24"/>
        </w:rPr>
        <w:t>un</w:t>
      </w:r>
      <w:r w:rsidRPr="008D398B">
        <w:rPr>
          <w:rFonts w:ascii="Georgia" w:hAnsi="Georgia"/>
          <w:sz w:val="24"/>
          <w:szCs w:val="24"/>
        </w:rPr>
        <w:t xml:space="preserve"> alapjául szolgáló ESG minősítések, illetve az ezeket készítő társaságok kerülnek bemutatásra. A fejezet további szakaszában a szakirodalomban fellelhető, az ESG minősítések megbízhatóságát befolyásoló tényezők feltárásával foglalkozó publikációkat, azok eredményeit és következtetéseit foglalom össze.</w:t>
      </w:r>
    </w:p>
    <w:p w14:paraId="36744171" w14:textId="50C9D88F" w:rsidR="00050AD9" w:rsidRPr="008D398B" w:rsidRDefault="00510FC8" w:rsidP="00FF7AC9">
      <w:pPr>
        <w:pStyle w:val="Cmsor2"/>
        <w:numPr>
          <w:ilvl w:val="1"/>
          <w:numId w:val="3"/>
        </w:numPr>
        <w:spacing w:after="160"/>
        <w:ind w:left="1134" w:hanging="578"/>
        <w:rPr>
          <w:rFonts w:ascii="Georgia" w:hAnsi="Georgia" w:cs="Times New Roman"/>
          <w:b/>
          <w:bCs/>
          <w:color w:val="auto"/>
          <w:sz w:val="24"/>
          <w:szCs w:val="24"/>
        </w:rPr>
      </w:pPr>
      <w:r w:rsidRPr="008D398B">
        <w:rPr>
          <w:rFonts w:ascii="Georgia" w:hAnsi="Georgia" w:cs="Times New Roman"/>
          <w:b/>
          <w:bCs/>
          <w:color w:val="auto"/>
          <w:sz w:val="24"/>
          <w:szCs w:val="24"/>
        </w:rPr>
        <w:t xml:space="preserve"> </w:t>
      </w:r>
      <w:bookmarkStart w:id="5" w:name="_Toc119421164"/>
      <w:r w:rsidR="00F80EA2" w:rsidRPr="008D398B">
        <w:rPr>
          <w:rFonts w:ascii="Georgia" w:hAnsi="Georgia" w:cs="Times New Roman"/>
          <w:b/>
          <w:bCs/>
          <w:color w:val="auto"/>
          <w:sz w:val="24"/>
          <w:szCs w:val="24"/>
        </w:rPr>
        <w:t>F</w:t>
      </w:r>
      <w:r w:rsidR="009E7FAA" w:rsidRPr="008D398B">
        <w:rPr>
          <w:rFonts w:ascii="Georgia" w:hAnsi="Georgia" w:cs="Times New Roman"/>
          <w:b/>
          <w:bCs/>
          <w:color w:val="auto"/>
          <w:sz w:val="24"/>
          <w:szCs w:val="24"/>
        </w:rPr>
        <w:t xml:space="preserve">enntarthatóság </w:t>
      </w:r>
      <w:r w:rsidR="00EB7194" w:rsidRPr="008D398B">
        <w:rPr>
          <w:rFonts w:ascii="Georgia" w:hAnsi="Georgia" w:cs="Times New Roman"/>
          <w:b/>
          <w:bCs/>
          <w:color w:val="auto"/>
          <w:sz w:val="24"/>
          <w:szCs w:val="24"/>
        </w:rPr>
        <w:t>a vállalatok életében</w:t>
      </w:r>
      <w:bookmarkEnd w:id="5"/>
    </w:p>
    <w:p w14:paraId="604F943E" w14:textId="6D68E01E" w:rsidR="009318FA" w:rsidRPr="007E723C" w:rsidRDefault="009318FA" w:rsidP="00BC71D1">
      <w:pPr>
        <w:spacing w:line="360" w:lineRule="auto"/>
        <w:ind w:firstLine="709"/>
        <w:jc w:val="both"/>
        <w:rPr>
          <w:rFonts w:ascii="Georgia" w:hAnsi="Georgia" w:cs="Times New Roman"/>
          <w:sz w:val="24"/>
          <w:szCs w:val="24"/>
        </w:rPr>
      </w:pPr>
      <w:r w:rsidRPr="007E723C">
        <w:rPr>
          <w:rFonts w:ascii="Georgia" w:hAnsi="Georgia" w:cs="Times New Roman"/>
          <w:sz w:val="24"/>
          <w:szCs w:val="24"/>
        </w:rPr>
        <w:t>A fenntarthatóság kérdése egyre többeket foglalkoztató témává vált napjainkban, így nem véletlen, hogy mára már a legtöbb multinacionális vállalat működés</w:t>
      </w:r>
      <w:r w:rsidR="003777BA" w:rsidRPr="007E723C">
        <w:rPr>
          <w:rFonts w:ascii="Georgia" w:hAnsi="Georgia" w:cs="Times New Roman"/>
          <w:sz w:val="24"/>
          <w:szCs w:val="24"/>
        </w:rPr>
        <w:t>ében</w:t>
      </w:r>
      <w:r w:rsidRPr="007E723C">
        <w:rPr>
          <w:rFonts w:ascii="Georgia" w:hAnsi="Georgia" w:cs="Times New Roman"/>
          <w:sz w:val="24"/>
          <w:szCs w:val="24"/>
        </w:rPr>
        <w:t xml:space="preserve"> is találhatunk olyan elemeket, amelyek a fenntarthatóság, a fenntartható fejlődés irányába mutatnak. Ebben a fejezetben röviden ismertetem, hogy hogyan alakult ki</w:t>
      </w:r>
      <w:r w:rsidR="00ED0037" w:rsidRPr="007E723C">
        <w:rPr>
          <w:rFonts w:ascii="Georgia" w:hAnsi="Georgia" w:cs="Times New Roman"/>
          <w:sz w:val="24"/>
          <w:szCs w:val="24"/>
        </w:rPr>
        <w:t xml:space="preserve"> és mit is jelent</w:t>
      </w:r>
      <w:r w:rsidRPr="007E723C">
        <w:rPr>
          <w:rFonts w:ascii="Georgia" w:hAnsi="Georgia" w:cs="Times New Roman"/>
          <w:sz w:val="24"/>
          <w:szCs w:val="24"/>
        </w:rPr>
        <w:t xml:space="preserve"> a vállalat</w:t>
      </w:r>
      <w:r w:rsidR="0081138D">
        <w:rPr>
          <w:rFonts w:ascii="Georgia" w:hAnsi="Georgia" w:cs="Times New Roman"/>
          <w:sz w:val="24"/>
          <w:szCs w:val="24"/>
        </w:rPr>
        <w:t>ok környezeti és</w:t>
      </w:r>
      <w:r w:rsidRPr="007E723C">
        <w:rPr>
          <w:rFonts w:ascii="Georgia" w:hAnsi="Georgia" w:cs="Times New Roman"/>
          <w:sz w:val="24"/>
          <w:szCs w:val="24"/>
        </w:rPr>
        <w:t xml:space="preserve"> társadalmi fenntarthatóság</w:t>
      </w:r>
      <w:r w:rsidR="0081138D">
        <w:rPr>
          <w:rFonts w:ascii="Georgia" w:hAnsi="Georgia" w:cs="Times New Roman"/>
          <w:sz w:val="24"/>
          <w:szCs w:val="24"/>
        </w:rPr>
        <w:t>a</w:t>
      </w:r>
      <w:r w:rsidRPr="007E723C">
        <w:rPr>
          <w:rFonts w:ascii="Georgia" w:hAnsi="Georgia" w:cs="Times New Roman"/>
          <w:sz w:val="24"/>
          <w:szCs w:val="24"/>
        </w:rPr>
        <w:t xml:space="preserve">, illetve </w:t>
      </w:r>
      <w:r w:rsidR="00ED0037" w:rsidRPr="007E723C">
        <w:rPr>
          <w:rFonts w:ascii="Georgia" w:hAnsi="Georgia" w:cs="Times New Roman"/>
          <w:sz w:val="24"/>
          <w:szCs w:val="24"/>
        </w:rPr>
        <w:t>megjelenésének</w:t>
      </w:r>
      <w:r w:rsidRPr="007E723C">
        <w:rPr>
          <w:rFonts w:ascii="Georgia" w:hAnsi="Georgia" w:cs="Times New Roman"/>
          <w:sz w:val="24"/>
          <w:szCs w:val="24"/>
        </w:rPr>
        <w:t xml:space="preserve"> hatására milyen változások következtek be a számvitel területén.</w:t>
      </w:r>
    </w:p>
    <w:p w14:paraId="50A320D5" w14:textId="52BAC5C9" w:rsidR="00EB7194" w:rsidRPr="00DD7699" w:rsidRDefault="00D9501F" w:rsidP="00FF7AC9">
      <w:pPr>
        <w:pStyle w:val="Cmsor3"/>
        <w:numPr>
          <w:ilvl w:val="2"/>
          <w:numId w:val="3"/>
        </w:numPr>
        <w:spacing w:after="160"/>
        <w:ind w:left="1701"/>
        <w:rPr>
          <w:rFonts w:ascii="Georgia" w:hAnsi="Georgia" w:cs="Times New Roman"/>
          <w:b/>
          <w:bCs/>
          <w:color w:val="auto"/>
        </w:rPr>
      </w:pPr>
      <w:bookmarkStart w:id="6" w:name="_Toc119421165"/>
      <w:r w:rsidRPr="00DD7699">
        <w:rPr>
          <w:rFonts w:ascii="Georgia" w:hAnsi="Georgia" w:cs="Times New Roman"/>
          <w:b/>
          <w:bCs/>
          <w:color w:val="auto"/>
        </w:rPr>
        <w:t xml:space="preserve">A </w:t>
      </w:r>
      <w:r w:rsidR="00FF60DF" w:rsidRPr="00DD7699">
        <w:rPr>
          <w:rFonts w:ascii="Georgia" w:hAnsi="Georgia" w:cs="Times New Roman"/>
          <w:b/>
          <w:bCs/>
          <w:color w:val="auto"/>
        </w:rPr>
        <w:t>vállalatelméletek fejlődése</w:t>
      </w:r>
      <w:bookmarkEnd w:id="6"/>
    </w:p>
    <w:p w14:paraId="2A612473" w14:textId="6F718999" w:rsidR="00E50245" w:rsidRPr="007E723C" w:rsidRDefault="00E13858" w:rsidP="00E50245">
      <w:pPr>
        <w:spacing w:line="360" w:lineRule="auto"/>
        <w:ind w:firstLine="709"/>
        <w:jc w:val="both"/>
        <w:rPr>
          <w:rFonts w:ascii="Georgia" w:eastAsia="Times New Roman" w:hAnsi="Georgia" w:cs="Times New Roman"/>
          <w:sz w:val="24"/>
          <w:szCs w:val="24"/>
          <w:lang w:eastAsia="hu-HU"/>
        </w:rPr>
      </w:pPr>
      <w:r w:rsidRPr="007E723C">
        <w:rPr>
          <w:rFonts w:ascii="Georgia" w:eastAsia="Times New Roman" w:hAnsi="Georgia" w:cs="Times New Roman"/>
          <w:color w:val="000000"/>
          <w:sz w:val="24"/>
          <w:szCs w:val="24"/>
          <w:lang w:eastAsia="hu-HU"/>
        </w:rPr>
        <w:t>A vállalatok lét</w:t>
      </w:r>
      <w:r w:rsidR="0081138D">
        <w:rPr>
          <w:rFonts w:ascii="Georgia" w:eastAsia="Times New Roman" w:hAnsi="Georgia" w:cs="Times New Roman"/>
          <w:color w:val="000000"/>
          <w:sz w:val="24"/>
          <w:szCs w:val="24"/>
          <w:lang w:eastAsia="hu-HU"/>
        </w:rPr>
        <w:t>jogosultsága</w:t>
      </w:r>
      <w:r w:rsidRPr="007E723C">
        <w:rPr>
          <w:rFonts w:ascii="Georgia" w:eastAsia="Times New Roman" w:hAnsi="Georgia" w:cs="Times New Roman"/>
          <w:color w:val="000000"/>
          <w:sz w:val="24"/>
          <w:szCs w:val="24"/>
          <w:lang w:eastAsia="hu-HU"/>
        </w:rPr>
        <w:t xml:space="preserve">mögött meghúzódó okokat már évtizedek óta vitatják a kutatók, melynek eredményeként a szakirodalomban számos megközelítés, vállalatfelfogás </w:t>
      </w:r>
      <w:proofErr w:type="gramStart"/>
      <w:r w:rsidR="00F3173A" w:rsidRPr="007E723C">
        <w:rPr>
          <w:rFonts w:ascii="Georgia" w:eastAsia="Times New Roman" w:hAnsi="Georgia" w:cs="Times New Roman"/>
          <w:color w:val="000000"/>
          <w:sz w:val="24"/>
          <w:szCs w:val="24"/>
          <w:lang w:eastAsia="hu-HU"/>
        </w:rPr>
        <w:t>fel</w:t>
      </w:r>
      <w:r w:rsidRPr="007E723C">
        <w:rPr>
          <w:rFonts w:ascii="Georgia" w:eastAsia="Times New Roman" w:hAnsi="Georgia" w:cs="Times New Roman"/>
          <w:color w:val="000000"/>
          <w:sz w:val="24"/>
          <w:szCs w:val="24"/>
          <w:lang w:eastAsia="hu-HU"/>
        </w:rPr>
        <w:t>lelhető .</w:t>
      </w:r>
      <w:proofErr w:type="gramEnd"/>
      <w:r w:rsidRPr="007E723C">
        <w:rPr>
          <w:rFonts w:ascii="Georgia" w:eastAsia="Times New Roman" w:hAnsi="Georgia" w:cs="Times New Roman"/>
          <w:color w:val="000000"/>
          <w:sz w:val="24"/>
          <w:szCs w:val="24"/>
          <w:lang w:eastAsia="hu-HU"/>
        </w:rPr>
        <w:t xml:space="preserve"> Ezek a vállalatelméletek főként a standard mikroökonómiából, illetve feltételrendszerének a különböző mértékű feloldásából származnak. A standard mikroökonómia, vagyis a neoklasszikus </w:t>
      </w:r>
      <w:r w:rsidRPr="007E723C">
        <w:rPr>
          <w:rFonts w:ascii="Georgia" w:eastAsia="Times New Roman" w:hAnsi="Georgia" w:cs="Times New Roman"/>
          <w:color w:val="000000"/>
          <w:sz w:val="24"/>
          <w:szCs w:val="24"/>
          <w:lang w:eastAsia="hu-HU"/>
        </w:rPr>
        <w:lastRenderedPageBreak/>
        <w:t xml:space="preserve">elmélet hívei tökéletes piaci környezetet, teljes informáltságot és korlátlan racionalitást feltételezve a vállalatok létezésének értelmét a profitmaximalizásban látják. Ezt az önérdekkövető magatartást a piac “láthatatlan keze” oldja fel és tereli </w:t>
      </w:r>
      <w:r w:rsidR="00F3173A" w:rsidRPr="007E723C">
        <w:rPr>
          <w:rFonts w:ascii="Georgia" w:eastAsia="Times New Roman" w:hAnsi="Georgia" w:cs="Times New Roman"/>
          <w:color w:val="000000"/>
          <w:sz w:val="24"/>
          <w:szCs w:val="24"/>
          <w:lang w:eastAsia="hu-HU"/>
        </w:rPr>
        <w:t xml:space="preserve">a </w:t>
      </w:r>
      <w:r w:rsidRPr="007E723C">
        <w:rPr>
          <w:rFonts w:ascii="Georgia" w:eastAsia="Times New Roman" w:hAnsi="Georgia" w:cs="Times New Roman"/>
          <w:color w:val="000000"/>
          <w:sz w:val="24"/>
          <w:szCs w:val="24"/>
          <w:lang w:eastAsia="hu-HU"/>
        </w:rPr>
        <w:t xml:space="preserve">közjó felé </w:t>
      </w:r>
      <w:r w:rsidRPr="007E723C">
        <w:rPr>
          <w:rFonts w:ascii="Georgia" w:eastAsia="Times New Roman" w:hAnsi="Georgia" w:cs="Times New Roman"/>
          <w:color w:val="000000"/>
          <w:sz w:val="24"/>
          <w:szCs w:val="24"/>
          <w:lang w:eastAsia="hu-HU"/>
        </w:rPr>
        <w:fldChar w:fldCharType="begin"/>
      </w:r>
      <w:r w:rsidRPr="007E723C">
        <w:rPr>
          <w:rFonts w:ascii="Georgia" w:eastAsia="Times New Roman" w:hAnsi="Georgia" w:cs="Times New Roman"/>
          <w:color w:val="000000"/>
          <w:sz w:val="24"/>
          <w:szCs w:val="24"/>
          <w:lang w:eastAsia="hu-HU"/>
        </w:rPr>
        <w:instrText xml:space="preserve"> ADDIN ZOTERO_ITEM CSL_CITATION {"citationID":"074mK6dZ","properties":{"formattedCitation":"(Chik\\uc0\\u225{}n, 2020)","plainCitation":"(Chikán, 2020)","noteIndex":0},"citationItems":[{"id":599,"uris":["http://zotero.org/users/9445126/items/FSASG58G"],"itemData":{"id":599,"type":"book","ISBN":"978 963 454 589 7","language":"Magyar","publisher":"Akadémiai Kiadó","title":"Vállalatgazdaságtan","author":[{"family":"Chikán","given":"Attila"}],"accessed":{"date-parts":[["2022",8,24]]},"issued":{"date-parts":[["2020"]]}}}],"schema":"https://github.com/citation-style-language/schema/raw/master/csl-citation.json"} </w:instrText>
      </w:r>
      <w:r w:rsidRPr="007E723C">
        <w:rPr>
          <w:rFonts w:ascii="Georgia" w:eastAsia="Times New Roman" w:hAnsi="Georgia" w:cs="Times New Roman"/>
          <w:color w:val="000000"/>
          <w:sz w:val="24"/>
          <w:szCs w:val="24"/>
          <w:lang w:eastAsia="hu-HU"/>
        </w:rPr>
        <w:fldChar w:fldCharType="separate"/>
      </w:r>
      <w:r w:rsidRPr="007E723C">
        <w:rPr>
          <w:rFonts w:ascii="Georgia" w:hAnsi="Georgia" w:cs="Times New Roman"/>
          <w:sz w:val="24"/>
          <w:szCs w:val="24"/>
        </w:rPr>
        <w:t>(Chikán, 2020)</w:t>
      </w:r>
      <w:r w:rsidRPr="007E723C">
        <w:rPr>
          <w:rFonts w:ascii="Georgia" w:eastAsia="Times New Roman" w:hAnsi="Georgia" w:cs="Times New Roman"/>
          <w:color w:val="000000"/>
          <w:sz w:val="24"/>
          <w:szCs w:val="24"/>
          <w:lang w:eastAsia="hu-HU"/>
        </w:rPr>
        <w:fldChar w:fldCharType="end"/>
      </w:r>
      <w:r w:rsidRPr="007E723C">
        <w:rPr>
          <w:rFonts w:ascii="Georgia" w:eastAsia="Times New Roman" w:hAnsi="Georgia" w:cs="Times New Roman"/>
          <w:color w:val="000000"/>
          <w:sz w:val="24"/>
          <w:szCs w:val="24"/>
          <w:lang w:eastAsia="hu-HU"/>
        </w:rPr>
        <w:t>.</w:t>
      </w:r>
      <w:r w:rsidR="00E12625" w:rsidRPr="007E723C">
        <w:rPr>
          <w:rFonts w:ascii="Georgia" w:eastAsia="Times New Roman" w:hAnsi="Georgia" w:cs="Times New Roman"/>
          <w:color w:val="000000"/>
          <w:sz w:val="24"/>
          <w:szCs w:val="24"/>
          <w:lang w:eastAsia="hu-HU"/>
        </w:rPr>
        <w:t xml:space="preserve"> Smith</w:t>
      </w:r>
      <w:r w:rsidRPr="007E723C">
        <w:rPr>
          <w:rFonts w:ascii="Georgia" w:eastAsia="Times New Roman" w:hAnsi="Georgia" w:cs="Times New Roman"/>
          <w:color w:val="000000"/>
          <w:sz w:val="24"/>
          <w:szCs w:val="24"/>
          <w:lang w:eastAsia="hu-HU"/>
        </w:rPr>
        <w:t xml:space="preserve"> </w:t>
      </w:r>
      <w:r w:rsidR="00E12625" w:rsidRPr="007E723C">
        <w:rPr>
          <w:rFonts w:ascii="Georgia" w:eastAsia="Times New Roman" w:hAnsi="Georgia" w:cs="Times New Roman"/>
          <w:color w:val="000000"/>
          <w:sz w:val="24"/>
          <w:szCs w:val="24"/>
          <w:shd w:val="clear" w:color="auto" w:fill="FFFF00"/>
          <w:lang w:eastAsia="hu-HU"/>
        </w:rPr>
        <w:fldChar w:fldCharType="begin"/>
      </w:r>
      <w:r w:rsidR="00E12625" w:rsidRPr="007E723C">
        <w:rPr>
          <w:rFonts w:ascii="Georgia" w:eastAsia="Times New Roman" w:hAnsi="Georgia" w:cs="Times New Roman"/>
          <w:color w:val="000000"/>
          <w:sz w:val="24"/>
          <w:szCs w:val="24"/>
          <w:shd w:val="clear" w:color="auto" w:fill="FFFF00"/>
          <w:lang w:eastAsia="hu-HU"/>
        </w:rPr>
        <w:instrText xml:space="preserve"> ADDIN ZOTERO_ITEM CSL_CITATION {"citationID":"VSM60mMA","properties":{"formattedCitation":"(2003)","plainCitation":"(2003)","noteIndex":0},"citationItems":[{"id":737,"uris":["http://zotero.org/users/9445126/items/PU39K6SR"],"itemData":{"id":737,"type":"article-journal","container-title":"Center for Marketing Working Paper","issue":"701","page":"1–35","source":"Google Scholar","title":"Corporate social responsibility: Not whether, but how","title-short":"Corporate social responsibility","volume":"3","author":[{"family":"Smith","given":"N. Craig"}],"issued":{"date-parts":[["2003"]]}},"label":"page","suppress-author":true}],"schema":"https://github.com/citation-style-language/schema/raw/master/csl-citation.json"} </w:instrText>
      </w:r>
      <w:r w:rsidR="00E12625" w:rsidRPr="007E723C">
        <w:rPr>
          <w:rFonts w:ascii="Georgia" w:eastAsia="Times New Roman" w:hAnsi="Georgia" w:cs="Times New Roman"/>
          <w:color w:val="000000"/>
          <w:sz w:val="24"/>
          <w:szCs w:val="24"/>
          <w:shd w:val="clear" w:color="auto" w:fill="FFFF00"/>
          <w:lang w:eastAsia="hu-HU"/>
        </w:rPr>
        <w:fldChar w:fldCharType="separate"/>
      </w:r>
      <w:r w:rsidR="00E12625" w:rsidRPr="007E723C">
        <w:rPr>
          <w:rFonts w:ascii="Georgia" w:hAnsi="Georgia" w:cs="Times New Roman"/>
          <w:sz w:val="24"/>
          <w:szCs w:val="24"/>
        </w:rPr>
        <w:t>(2003)</w:t>
      </w:r>
      <w:r w:rsidR="00E12625" w:rsidRPr="007E723C">
        <w:rPr>
          <w:rFonts w:ascii="Georgia" w:eastAsia="Times New Roman" w:hAnsi="Georgia" w:cs="Times New Roman"/>
          <w:color w:val="000000"/>
          <w:sz w:val="24"/>
          <w:szCs w:val="24"/>
          <w:shd w:val="clear" w:color="auto" w:fill="FFFF00"/>
          <w:lang w:eastAsia="hu-HU"/>
        </w:rPr>
        <w:fldChar w:fldCharType="end"/>
      </w:r>
      <w:r w:rsidRPr="007E723C">
        <w:rPr>
          <w:rFonts w:ascii="Georgia" w:eastAsia="Times New Roman" w:hAnsi="Georgia" w:cs="Times New Roman"/>
          <w:color w:val="000000"/>
          <w:sz w:val="24"/>
          <w:szCs w:val="24"/>
          <w:lang w:eastAsia="hu-HU"/>
        </w:rPr>
        <w:t xml:space="preserve"> azzal érvel</w:t>
      </w:r>
      <w:r w:rsidR="0090201C" w:rsidRPr="007E723C">
        <w:rPr>
          <w:rFonts w:ascii="Georgia" w:eastAsia="Times New Roman" w:hAnsi="Georgia" w:cs="Times New Roman"/>
          <w:color w:val="000000"/>
          <w:sz w:val="24"/>
          <w:szCs w:val="24"/>
          <w:lang w:eastAsia="hu-HU"/>
        </w:rPr>
        <w:t xml:space="preserve"> emellett</w:t>
      </w:r>
      <w:r w:rsidRPr="007E723C">
        <w:rPr>
          <w:rFonts w:ascii="Georgia" w:eastAsia="Times New Roman" w:hAnsi="Georgia" w:cs="Times New Roman"/>
          <w:color w:val="000000"/>
          <w:sz w:val="24"/>
          <w:szCs w:val="24"/>
          <w:lang w:eastAsia="hu-HU"/>
        </w:rPr>
        <w:t>, hogy a vállalatoknak nincs tudomásuk arról, hogy mi a jó a társadalom számára, csupán az állam</w:t>
      </w:r>
      <w:r w:rsidR="0090201C" w:rsidRPr="007E723C">
        <w:rPr>
          <w:rFonts w:ascii="Georgia" w:eastAsia="Times New Roman" w:hAnsi="Georgia" w:cs="Times New Roman"/>
          <w:color w:val="000000"/>
          <w:sz w:val="24"/>
          <w:szCs w:val="24"/>
          <w:lang w:eastAsia="hu-HU"/>
        </w:rPr>
        <w:t xml:space="preserve"> az</w:t>
      </w:r>
      <w:r w:rsidRPr="007E723C">
        <w:rPr>
          <w:rFonts w:ascii="Georgia" w:eastAsia="Times New Roman" w:hAnsi="Georgia" w:cs="Times New Roman"/>
          <w:color w:val="000000"/>
          <w:sz w:val="24"/>
          <w:szCs w:val="24"/>
          <w:lang w:eastAsia="hu-HU"/>
        </w:rPr>
        <w:t>, aki képes a társadalmi ügyek intézésére, amelyben a vállalatok egyedüli szerepvállalása az adófizetés.</w:t>
      </w:r>
      <w:r w:rsidR="00E50245" w:rsidRPr="007E723C">
        <w:rPr>
          <w:rFonts w:ascii="Georgia" w:eastAsia="Times New Roman" w:hAnsi="Georgia" w:cs="Times New Roman"/>
          <w:color w:val="000000"/>
          <w:sz w:val="24"/>
          <w:szCs w:val="24"/>
          <w:lang w:eastAsia="hu-HU"/>
        </w:rPr>
        <w:t xml:space="preserve"> Friedman</w:t>
      </w:r>
      <w:r w:rsidRPr="007E723C">
        <w:rPr>
          <w:rFonts w:ascii="Georgia" w:eastAsia="Times New Roman" w:hAnsi="Georgia" w:cs="Times New Roman"/>
          <w:color w:val="000000"/>
          <w:sz w:val="24"/>
          <w:szCs w:val="24"/>
          <w:lang w:eastAsia="hu-HU"/>
        </w:rPr>
        <w:t xml:space="preserve"> </w:t>
      </w:r>
      <w:r w:rsidR="00E50245" w:rsidRPr="007E723C">
        <w:rPr>
          <w:rFonts w:ascii="Georgia" w:eastAsia="Times New Roman" w:hAnsi="Georgia" w:cs="Times New Roman"/>
          <w:color w:val="000000"/>
          <w:sz w:val="24"/>
          <w:szCs w:val="24"/>
          <w:lang w:eastAsia="hu-HU"/>
        </w:rPr>
        <w:fldChar w:fldCharType="begin"/>
      </w:r>
      <w:r w:rsidR="00E50245" w:rsidRPr="007E723C">
        <w:rPr>
          <w:rFonts w:ascii="Georgia" w:eastAsia="Times New Roman" w:hAnsi="Georgia" w:cs="Times New Roman"/>
          <w:color w:val="000000"/>
          <w:sz w:val="24"/>
          <w:szCs w:val="24"/>
          <w:lang w:eastAsia="hu-HU"/>
        </w:rPr>
        <w:instrText xml:space="preserve"> ADDIN ZOTERO_ITEM CSL_CITATION {"citationID":"tuEL04D9","properties":{"formattedCitation":"(1970)","plainCitation":"(1970)","noteIndex":0},"citationItems":[{"id":610,"uris":["http://zotero.org/users/9445126/items/NJPSBAH8"],"itemData":{"id":610,"type":"article-journal","container-title":"The New York Times Magazine","issue":"1970","page":"32–33","source":"Google Scholar","title":"A Friedman doctrine: The social responsibility of business is to increase its profits","title-short":"A Friedman doctrine","volume":"13","author":[{"family":"Friedman","given":"Milton"}],"issued":{"date-parts":[["1970"]]}},"label":"page","suppress-author":true}],"schema":"https://github.com/citation-style-language/schema/raw/master/csl-citation.json"} </w:instrText>
      </w:r>
      <w:r w:rsidR="00E50245" w:rsidRPr="007E723C">
        <w:rPr>
          <w:rFonts w:ascii="Georgia" w:eastAsia="Times New Roman" w:hAnsi="Georgia" w:cs="Times New Roman"/>
          <w:color w:val="000000"/>
          <w:sz w:val="24"/>
          <w:szCs w:val="24"/>
          <w:lang w:eastAsia="hu-HU"/>
        </w:rPr>
        <w:fldChar w:fldCharType="separate"/>
      </w:r>
      <w:r w:rsidR="00E50245" w:rsidRPr="007E723C">
        <w:rPr>
          <w:rFonts w:ascii="Georgia" w:hAnsi="Georgia" w:cs="Times New Roman"/>
          <w:sz w:val="24"/>
          <w:szCs w:val="24"/>
        </w:rPr>
        <w:t>(1970)</w:t>
      </w:r>
      <w:r w:rsidR="00E50245" w:rsidRPr="007E723C">
        <w:rPr>
          <w:rFonts w:ascii="Georgia" w:eastAsia="Times New Roman" w:hAnsi="Georgia" w:cs="Times New Roman"/>
          <w:color w:val="000000"/>
          <w:sz w:val="24"/>
          <w:szCs w:val="24"/>
          <w:lang w:eastAsia="hu-HU"/>
        </w:rPr>
        <w:fldChar w:fldCharType="end"/>
      </w:r>
      <w:r w:rsidR="00E50245" w:rsidRPr="007E723C">
        <w:rPr>
          <w:rFonts w:ascii="Georgia" w:eastAsia="Times New Roman" w:hAnsi="Georgia" w:cs="Times New Roman"/>
          <w:color w:val="000000"/>
          <w:sz w:val="24"/>
          <w:szCs w:val="24"/>
          <w:lang w:eastAsia="hu-HU"/>
        </w:rPr>
        <w:t xml:space="preserve"> </w:t>
      </w:r>
      <w:r w:rsidRPr="007E723C">
        <w:rPr>
          <w:rFonts w:ascii="Georgia" w:eastAsia="Times New Roman" w:hAnsi="Georgia" w:cs="Times New Roman"/>
          <w:color w:val="000000"/>
          <w:sz w:val="24"/>
          <w:szCs w:val="24"/>
          <w:lang w:eastAsia="hu-HU"/>
        </w:rPr>
        <w:t>szerint, aki szintén a neoklasszikus felfogás támogatója volt, a vállalatoknak nincs felelőssége, ez csupán egy emberi jelző. Hasonlóan vélekedett erről</w:t>
      </w:r>
      <w:r w:rsidR="00E50245" w:rsidRPr="007E723C">
        <w:rPr>
          <w:rFonts w:ascii="Georgia" w:eastAsia="Times New Roman" w:hAnsi="Georgia" w:cs="Times New Roman"/>
          <w:color w:val="000000"/>
          <w:sz w:val="24"/>
          <w:szCs w:val="24"/>
          <w:lang w:eastAsia="hu-HU"/>
        </w:rPr>
        <w:t xml:space="preserve"> Hart és Milstein </w:t>
      </w:r>
      <w:r w:rsidR="00E50245" w:rsidRPr="007E723C">
        <w:rPr>
          <w:rFonts w:ascii="Georgia" w:eastAsia="Times New Roman" w:hAnsi="Georgia" w:cs="Times New Roman"/>
          <w:color w:val="000000"/>
          <w:sz w:val="24"/>
          <w:szCs w:val="24"/>
          <w:lang w:eastAsia="hu-HU"/>
        </w:rPr>
        <w:fldChar w:fldCharType="begin"/>
      </w:r>
      <w:r w:rsidR="00E50245" w:rsidRPr="007E723C">
        <w:rPr>
          <w:rFonts w:ascii="Georgia" w:eastAsia="Times New Roman" w:hAnsi="Georgia" w:cs="Times New Roman"/>
          <w:color w:val="000000"/>
          <w:sz w:val="24"/>
          <w:szCs w:val="24"/>
          <w:lang w:eastAsia="hu-HU"/>
        </w:rPr>
        <w:instrText xml:space="preserve"> ADDIN ZOTERO_ITEM CSL_CITATION {"citationID":"sBvUiKfV","properties":{"formattedCitation":"(2003)","plainCitation":"(2003)","noteIndex":0},"citationItems":[{"id":739,"uris":["http://zotero.org/users/9445126/items/7IN2ANA2"],"itemData":{"id":739,"type":"article-journal","container-title":"Academy of Management Perspectives","issue":"2","note":"publisher: Academy of Management Briarcliff Manor, NY 10510","page":"56–67","source":"Google Scholar","title":"Creating sustainable value","volume":"17","author":[{"family":"Hart","given":"Stuart L."},{"family":"Milstein","given":"Mark B."}],"issued":{"date-parts":[["2003"]]}},"label":"page","suppress-author":true}],"schema":"https://github.com/citation-style-language/schema/raw/master/csl-citation.json"} </w:instrText>
      </w:r>
      <w:r w:rsidR="00E50245" w:rsidRPr="007E723C">
        <w:rPr>
          <w:rFonts w:ascii="Georgia" w:eastAsia="Times New Roman" w:hAnsi="Georgia" w:cs="Times New Roman"/>
          <w:color w:val="000000"/>
          <w:sz w:val="24"/>
          <w:szCs w:val="24"/>
          <w:lang w:eastAsia="hu-HU"/>
        </w:rPr>
        <w:fldChar w:fldCharType="separate"/>
      </w:r>
      <w:r w:rsidR="00E50245" w:rsidRPr="007E723C">
        <w:rPr>
          <w:rFonts w:ascii="Georgia" w:hAnsi="Georgia" w:cs="Times New Roman"/>
          <w:sz w:val="24"/>
          <w:szCs w:val="24"/>
        </w:rPr>
        <w:t>(2003)</w:t>
      </w:r>
      <w:r w:rsidR="00E50245" w:rsidRPr="007E723C">
        <w:rPr>
          <w:rFonts w:ascii="Georgia" w:eastAsia="Times New Roman" w:hAnsi="Georgia" w:cs="Times New Roman"/>
          <w:color w:val="000000"/>
          <w:sz w:val="24"/>
          <w:szCs w:val="24"/>
          <w:lang w:eastAsia="hu-HU"/>
        </w:rPr>
        <w:fldChar w:fldCharType="end"/>
      </w:r>
      <w:r w:rsidRPr="007E723C">
        <w:rPr>
          <w:rFonts w:ascii="Georgia" w:eastAsia="Times New Roman" w:hAnsi="Georgia" w:cs="Times New Roman"/>
          <w:color w:val="000000"/>
          <w:sz w:val="24"/>
          <w:szCs w:val="24"/>
          <w:lang w:eastAsia="hu-HU"/>
        </w:rPr>
        <w:t xml:space="preserve"> is, akik a vállalati társadalmi felelősségvállalást egyfajta adományozásként fogták fel.</w:t>
      </w:r>
    </w:p>
    <w:p w14:paraId="5D72C645" w14:textId="77777777" w:rsidR="00E50245" w:rsidRPr="007E723C" w:rsidRDefault="00E50245" w:rsidP="00E50245">
      <w:pPr>
        <w:spacing w:line="360" w:lineRule="auto"/>
        <w:ind w:firstLine="709"/>
        <w:jc w:val="both"/>
        <w:rPr>
          <w:rFonts w:ascii="Georgia" w:eastAsia="Times New Roman" w:hAnsi="Georgia" w:cs="Times New Roman"/>
          <w:color w:val="000000"/>
          <w:sz w:val="24"/>
          <w:szCs w:val="24"/>
          <w:lang w:eastAsia="hu-HU"/>
        </w:rPr>
      </w:pPr>
      <w:r w:rsidRPr="007E723C">
        <w:rPr>
          <w:rFonts w:ascii="Georgia" w:eastAsia="Times New Roman" w:hAnsi="Georgia" w:cs="Times New Roman"/>
          <w:sz w:val="24"/>
          <w:szCs w:val="24"/>
          <w:lang w:eastAsia="hu-HU"/>
        </w:rPr>
        <w:t xml:space="preserve">Porter és Kramer </w:t>
      </w:r>
      <w:r w:rsidRPr="007E723C">
        <w:rPr>
          <w:rFonts w:ascii="Georgia" w:eastAsia="Times New Roman" w:hAnsi="Georgia" w:cs="Times New Roman"/>
          <w:color w:val="000000"/>
          <w:sz w:val="24"/>
          <w:szCs w:val="24"/>
          <w:shd w:val="clear" w:color="auto" w:fill="FFFF00"/>
          <w:lang w:eastAsia="hu-HU"/>
        </w:rPr>
        <w:fldChar w:fldCharType="begin"/>
      </w:r>
      <w:r w:rsidRPr="007E723C">
        <w:rPr>
          <w:rFonts w:ascii="Georgia" w:eastAsia="Times New Roman" w:hAnsi="Georgia" w:cs="Times New Roman"/>
          <w:color w:val="000000"/>
          <w:sz w:val="24"/>
          <w:szCs w:val="24"/>
          <w:shd w:val="clear" w:color="auto" w:fill="FFFF00"/>
          <w:lang w:eastAsia="hu-HU"/>
        </w:rPr>
        <w:instrText xml:space="preserve"> ADDIN ZOTERO_ITEM CSL_CITATION {"citationID":"j2KqRsoy","properties":{"formattedCitation":"(2011)","plainCitation":"(2011)","noteIndex":0},"citationItems":[{"id":742,"uris":["http://zotero.org/users/9445126/items/YEIBT4G8"],"itemData":{"id":742,"type":"article-journal","container-title":"Harvard business review","issue":"1-2","note":"publisher: Cambridge","source":"Google Scholar","title":"The Big Idea: Creating Shared Value. How to reinvent capitalism—and unleash a wave of innovation and growth","title-short":"The Big Idea","volume":"89","author":[{"family":"Porter","given":"Michael E."},{"family":"Kramer","given":"Mark R."}],"issued":{"date-parts":[["2011"]]}},"label":"page","suppress-author":true}],"schema":"https://github.com/citation-style-language/schema/raw/master/csl-citation.json"} </w:instrText>
      </w:r>
      <w:r w:rsidRPr="007E723C">
        <w:rPr>
          <w:rFonts w:ascii="Georgia" w:eastAsia="Times New Roman" w:hAnsi="Georgia" w:cs="Times New Roman"/>
          <w:color w:val="000000"/>
          <w:sz w:val="24"/>
          <w:szCs w:val="24"/>
          <w:shd w:val="clear" w:color="auto" w:fill="FFFF00"/>
          <w:lang w:eastAsia="hu-HU"/>
        </w:rPr>
        <w:fldChar w:fldCharType="separate"/>
      </w:r>
      <w:r w:rsidRPr="007E723C">
        <w:rPr>
          <w:rFonts w:ascii="Georgia" w:hAnsi="Georgia" w:cs="Times New Roman"/>
          <w:sz w:val="24"/>
          <w:szCs w:val="24"/>
        </w:rPr>
        <w:t>(2011)</w:t>
      </w:r>
      <w:r w:rsidRPr="007E723C">
        <w:rPr>
          <w:rFonts w:ascii="Georgia" w:eastAsia="Times New Roman" w:hAnsi="Georgia" w:cs="Times New Roman"/>
          <w:color w:val="000000"/>
          <w:sz w:val="24"/>
          <w:szCs w:val="24"/>
          <w:shd w:val="clear" w:color="auto" w:fill="FFFF00"/>
          <w:lang w:eastAsia="hu-HU"/>
        </w:rPr>
        <w:fldChar w:fldCharType="end"/>
      </w:r>
      <w:r w:rsidR="00E13858" w:rsidRPr="007E723C">
        <w:rPr>
          <w:rFonts w:ascii="Georgia" w:eastAsia="Times New Roman" w:hAnsi="Georgia" w:cs="Times New Roman"/>
          <w:color w:val="000000"/>
          <w:sz w:val="24"/>
          <w:szCs w:val="24"/>
          <w:lang w:eastAsia="hu-HU"/>
        </w:rPr>
        <w:t xml:space="preserve"> azzal kritizálta a</w:t>
      </w:r>
      <w:r w:rsidR="0090201C" w:rsidRPr="007E723C">
        <w:rPr>
          <w:rFonts w:ascii="Georgia" w:eastAsia="Times New Roman" w:hAnsi="Georgia" w:cs="Times New Roman"/>
          <w:color w:val="000000"/>
          <w:sz w:val="24"/>
          <w:szCs w:val="24"/>
          <w:lang w:eastAsia="hu-HU"/>
        </w:rPr>
        <w:t xml:space="preserve"> neoklasszikus</w:t>
      </w:r>
      <w:r w:rsidR="00E13858" w:rsidRPr="007E723C">
        <w:rPr>
          <w:rFonts w:ascii="Georgia" w:eastAsia="Times New Roman" w:hAnsi="Georgia" w:cs="Times New Roman"/>
          <w:color w:val="000000"/>
          <w:sz w:val="24"/>
          <w:szCs w:val="24"/>
          <w:lang w:eastAsia="hu-HU"/>
        </w:rPr>
        <w:t xml:space="preserve"> felfogást, hogy a vállalatoknak egyszerre kell értéket teremtenie a tulajdonosok és a társadalom számára</w:t>
      </w:r>
      <w:r w:rsidR="0090201C" w:rsidRPr="007E723C">
        <w:rPr>
          <w:rFonts w:ascii="Georgia" w:eastAsia="Times New Roman" w:hAnsi="Georgia" w:cs="Times New Roman"/>
          <w:color w:val="000000"/>
          <w:sz w:val="24"/>
          <w:szCs w:val="24"/>
          <w:lang w:eastAsia="hu-HU"/>
        </w:rPr>
        <w:t xml:space="preserve"> is</w:t>
      </w:r>
      <w:r w:rsidR="00E13858" w:rsidRPr="007E723C">
        <w:rPr>
          <w:rFonts w:ascii="Georgia" w:eastAsia="Times New Roman" w:hAnsi="Georgia" w:cs="Times New Roman"/>
          <w:color w:val="000000"/>
          <w:sz w:val="24"/>
          <w:szCs w:val="24"/>
          <w:lang w:eastAsia="hu-HU"/>
        </w:rPr>
        <w:t xml:space="preserve">. Példaként az egészséges táplálkozást hozta fel, ami az üzleti potenciál mellett társadalmi hasznosságot is hordoz magában. </w:t>
      </w:r>
      <w:r w:rsidRPr="007E723C">
        <w:rPr>
          <w:rFonts w:ascii="Georgia" w:eastAsia="Times New Roman" w:hAnsi="Georgia" w:cs="Times New Roman"/>
          <w:sz w:val="24"/>
          <w:szCs w:val="24"/>
          <w:lang w:eastAsia="hu-HU"/>
        </w:rPr>
        <w:t xml:space="preserve">Porter és Kramer </w:t>
      </w:r>
      <w:r w:rsidRPr="007E723C">
        <w:rPr>
          <w:rFonts w:ascii="Georgia" w:eastAsia="Times New Roman" w:hAnsi="Georgia" w:cs="Times New Roman"/>
          <w:sz w:val="24"/>
          <w:szCs w:val="24"/>
          <w:lang w:eastAsia="hu-HU"/>
        </w:rPr>
        <w:fldChar w:fldCharType="begin"/>
      </w:r>
      <w:r w:rsidRPr="007E723C">
        <w:rPr>
          <w:rFonts w:ascii="Georgia" w:eastAsia="Times New Roman" w:hAnsi="Georgia" w:cs="Times New Roman"/>
          <w:sz w:val="24"/>
          <w:szCs w:val="24"/>
          <w:lang w:eastAsia="hu-HU"/>
        </w:rPr>
        <w:instrText xml:space="preserve"> ADDIN ZOTERO_ITEM CSL_CITATION {"citationID":"i3JuntR2","properties":{"formattedCitation":"(2011)","plainCitation":"(2011)","noteIndex":0},"citationItems":[{"id":742,"uris":["http://zotero.org/users/9445126/items/YEIBT4G8"],"itemData":{"id":742,"type":"article-journal","container-title":"Harvard business review","issue":"1-2","note":"publisher: Cambridge","source":"Google Scholar","title":"The Big Idea: Creating Shared Value. How to reinvent capitalism—and unleash a wave of innovation and growth","title-short":"The Big Idea","volume":"89","author":[{"family":"Porter","given":"Michael E."},{"family":"Kramer","given":"Mark R."}],"issued":{"date-parts":[["2011"]]}},"label":"page","suppress-author":true}],"schema":"https://github.com/citation-style-language/schema/raw/master/csl-citation.json"} </w:instrText>
      </w:r>
      <w:r w:rsidRPr="007E723C">
        <w:rPr>
          <w:rFonts w:ascii="Georgia" w:eastAsia="Times New Roman" w:hAnsi="Georgia" w:cs="Times New Roman"/>
          <w:sz w:val="24"/>
          <w:szCs w:val="24"/>
          <w:lang w:eastAsia="hu-HU"/>
        </w:rPr>
        <w:fldChar w:fldCharType="separate"/>
      </w:r>
      <w:r w:rsidRPr="007E723C">
        <w:rPr>
          <w:rFonts w:ascii="Georgia" w:eastAsia="Times New Roman" w:hAnsi="Georgia" w:cs="Times New Roman"/>
          <w:sz w:val="24"/>
          <w:szCs w:val="24"/>
          <w:lang w:eastAsia="hu-HU"/>
        </w:rPr>
        <w:t>(2011)</w:t>
      </w:r>
      <w:r w:rsidRPr="007E723C">
        <w:rPr>
          <w:rFonts w:ascii="Georgia" w:eastAsia="Times New Roman" w:hAnsi="Georgia" w:cs="Times New Roman"/>
          <w:sz w:val="24"/>
          <w:szCs w:val="24"/>
          <w:lang w:eastAsia="hu-HU"/>
        </w:rPr>
        <w:fldChar w:fldCharType="end"/>
      </w:r>
      <w:r w:rsidRPr="007E723C">
        <w:rPr>
          <w:rFonts w:ascii="Georgia" w:eastAsia="Times New Roman" w:hAnsi="Georgia" w:cs="Times New Roman"/>
          <w:sz w:val="24"/>
          <w:szCs w:val="24"/>
          <w:lang w:eastAsia="hu-HU"/>
        </w:rPr>
        <w:t xml:space="preserve"> </w:t>
      </w:r>
      <w:r w:rsidR="00E13858" w:rsidRPr="007E723C">
        <w:rPr>
          <w:rFonts w:ascii="Georgia" w:eastAsia="Times New Roman" w:hAnsi="Georgia" w:cs="Times New Roman"/>
          <w:sz w:val="24"/>
          <w:szCs w:val="24"/>
          <w:lang w:eastAsia="hu-HU"/>
        </w:rPr>
        <w:t>megközelítése</w:t>
      </w:r>
      <w:r w:rsidR="00E13858" w:rsidRPr="007E723C">
        <w:rPr>
          <w:rFonts w:ascii="Georgia" w:eastAsia="Times New Roman" w:hAnsi="Georgia" w:cs="Times New Roman"/>
          <w:color w:val="000000"/>
          <w:sz w:val="24"/>
          <w:szCs w:val="24"/>
          <w:lang w:eastAsia="hu-HU"/>
        </w:rPr>
        <w:t xml:space="preserve"> tehát inkább az érintett elmélethez áll közel, amely szakít azzal a feltételezéssel, hogy a vállalatok csupán a saját, önös érdeküket szolgálják. Ez a felfogás ugyanis arra épül, hogy a vállalatok egyfajta összekötő kapocsként funkcionálnak a gazdaság és a társadalom egyes csoportjainak érdekei között. Így a haszonmaximalizálás mellett megjelenik az értékteremtés, vagyis az érintettek igényeinek való minél nagyobb fokú megfelelés is. Ez a gondolatmenet vezetett el tulajdonképpen a felelős vállalat koncepcióig, mely arra keresi a választ, hogy a vállalatoknak van-e egyáltalán társadalmi felelőssége </w:t>
      </w:r>
      <w:r w:rsidR="00E13858" w:rsidRPr="007E723C">
        <w:rPr>
          <w:rFonts w:ascii="Georgia" w:eastAsia="Times New Roman" w:hAnsi="Georgia" w:cs="Times New Roman"/>
          <w:color w:val="000000"/>
          <w:sz w:val="24"/>
          <w:szCs w:val="24"/>
          <w:lang w:eastAsia="hu-HU"/>
        </w:rPr>
        <w:fldChar w:fldCharType="begin"/>
      </w:r>
      <w:r w:rsidR="00E13858" w:rsidRPr="007E723C">
        <w:rPr>
          <w:rFonts w:ascii="Georgia" w:eastAsia="Times New Roman" w:hAnsi="Georgia" w:cs="Times New Roman"/>
          <w:color w:val="000000"/>
          <w:sz w:val="24"/>
          <w:szCs w:val="24"/>
          <w:lang w:eastAsia="hu-HU"/>
        </w:rPr>
        <w:instrText xml:space="preserve"> ADDIN ZOTERO_ITEM CSL_CITATION {"citationID":"DSMWviiS","properties":{"formattedCitation":"(Chik\\uc0\\u225{}n, 2020)","plainCitation":"(Chikán, 2020)","noteIndex":0},"citationItems":[{"id":599,"uris":["http://zotero.org/users/9445126/items/FSASG58G"],"itemData":{"id":599,"type":"book","ISBN":"978 963 454 589 7","language":"Magyar","publisher":"Akadémiai Kiadó","title":"Vállalatgazdaságtan","author":[{"family":"Chikán","given":"Attila"}],"accessed":{"date-parts":[["2022",8,24]]},"issued":{"date-parts":[["2020"]]}}}],"schema":"https://github.com/citation-style-language/schema/raw/master/csl-citation.json"} </w:instrText>
      </w:r>
      <w:r w:rsidR="00E13858" w:rsidRPr="007E723C">
        <w:rPr>
          <w:rFonts w:ascii="Georgia" w:eastAsia="Times New Roman" w:hAnsi="Georgia" w:cs="Times New Roman"/>
          <w:color w:val="000000"/>
          <w:sz w:val="24"/>
          <w:szCs w:val="24"/>
          <w:lang w:eastAsia="hu-HU"/>
        </w:rPr>
        <w:fldChar w:fldCharType="separate"/>
      </w:r>
      <w:r w:rsidR="00E13858" w:rsidRPr="007E723C">
        <w:rPr>
          <w:rFonts w:ascii="Georgia" w:hAnsi="Georgia" w:cs="Times New Roman"/>
          <w:sz w:val="24"/>
          <w:szCs w:val="24"/>
        </w:rPr>
        <w:t>(Chikán, 2020)</w:t>
      </w:r>
      <w:r w:rsidR="00E13858" w:rsidRPr="007E723C">
        <w:rPr>
          <w:rFonts w:ascii="Georgia" w:eastAsia="Times New Roman" w:hAnsi="Georgia" w:cs="Times New Roman"/>
          <w:color w:val="000000"/>
          <w:sz w:val="24"/>
          <w:szCs w:val="24"/>
          <w:lang w:eastAsia="hu-HU"/>
        </w:rPr>
        <w:fldChar w:fldCharType="end"/>
      </w:r>
      <w:r w:rsidRPr="007E723C">
        <w:rPr>
          <w:rFonts w:ascii="Georgia" w:eastAsia="Times New Roman" w:hAnsi="Georgia" w:cs="Times New Roman"/>
          <w:color w:val="000000"/>
          <w:sz w:val="24"/>
          <w:szCs w:val="24"/>
          <w:lang w:eastAsia="hu-HU"/>
        </w:rPr>
        <w:t>.</w:t>
      </w:r>
    </w:p>
    <w:p w14:paraId="624292D9" w14:textId="0E6BED14" w:rsidR="00E13858" w:rsidRPr="007E723C" w:rsidRDefault="00E50245" w:rsidP="00E50245">
      <w:pPr>
        <w:spacing w:line="360" w:lineRule="auto"/>
        <w:ind w:firstLine="709"/>
        <w:jc w:val="both"/>
        <w:rPr>
          <w:rFonts w:ascii="Georgia" w:eastAsia="Times New Roman" w:hAnsi="Georgia" w:cs="Times New Roman"/>
          <w:color w:val="000000"/>
          <w:sz w:val="24"/>
          <w:szCs w:val="24"/>
          <w:shd w:val="clear" w:color="auto" w:fill="FFFF00"/>
          <w:lang w:eastAsia="hu-HU"/>
        </w:rPr>
      </w:pPr>
      <w:r w:rsidRPr="007E723C">
        <w:rPr>
          <w:rFonts w:ascii="Georgia" w:eastAsia="Times New Roman" w:hAnsi="Georgia" w:cs="Times New Roman"/>
          <w:color w:val="000000"/>
          <w:sz w:val="24"/>
          <w:szCs w:val="24"/>
          <w:lang w:eastAsia="hu-HU"/>
        </w:rPr>
        <w:t xml:space="preserve">Egels </w:t>
      </w:r>
      <w:r w:rsidRPr="007E723C">
        <w:rPr>
          <w:rFonts w:ascii="Georgia" w:eastAsia="Times New Roman" w:hAnsi="Georgia" w:cs="Times New Roman"/>
          <w:color w:val="000000"/>
          <w:sz w:val="24"/>
          <w:szCs w:val="24"/>
          <w:lang w:eastAsia="hu-HU"/>
        </w:rPr>
        <w:fldChar w:fldCharType="begin"/>
      </w:r>
      <w:r w:rsidRPr="007E723C">
        <w:rPr>
          <w:rFonts w:ascii="Georgia" w:eastAsia="Times New Roman" w:hAnsi="Georgia" w:cs="Times New Roman"/>
          <w:color w:val="000000"/>
          <w:sz w:val="24"/>
          <w:szCs w:val="24"/>
          <w:lang w:eastAsia="hu-HU"/>
        </w:rPr>
        <w:instrText xml:space="preserve"> ADDIN ZOTERO_ITEM CSL_CITATION {"citationID":"K2e6GOKK","properties":{"formattedCitation":"(2005)","plainCitation":"(2005)","noteIndex":0},"citationItems":[{"id":743,"uris":["http://zotero.org/users/9445126/items/NG4IH88F"],"itemData":{"id":743,"type":"article-journal","container-title":"rapport nr.: GRI reports","issue":"2005","source":"Google Scholar","title":"Sorting out the mess. A review of definitions of ethical issues in business","author":[{"family":"Egels","given":"Niklas"}],"issued":{"date-parts":[["2005"]]}},"label":"page","suppress-author":true}],"schema":"https://github.com/citation-style-language/schema/raw/master/csl-citation.json"} </w:instrText>
      </w:r>
      <w:r w:rsidRPr="007E723C">
        <w:rPr>
          <w:rFonts w:ascii="Georgia" w:eastAsia="Times New Roman" w:hAnsi="Georgia" w:cs="Times New Roman"/>
          <w:color w:val="000000"/>
          <w:sz w:val="24"/>
          <w:szCs w:val="24"/>
          <w:lang w:eastAsia="hu-HU"/>
        </w:rPr>
        <w:fldChar w:fldCharType="separate"/>
      </w:r>
      <w:r w:rsidRPr="007E723C">
        <w:rPr>
          <w:rFonts w:ascii="Georgia" w:hAnsi="Georgia" w:cs="Times New Roman"/>
          <w:sz w:val="24"/>
          <w:szCs w:val="24"/>
        </w:rPr>
        <w:t>(2005)</w:t>
      </w:r>
      <w:r w:rsidRPr="007E723C">
        <w:rPr>
          <w:rFonts w:ascii="Georgia" w:eastAsia="Times New Roman" w:hAnsi="Georgia" w:cs="Times New Roman"/>
          <w:color w:val="000000"/>
          <w:sz w:val="24"/>
          <w:szCs w:val="24"/>
          <w:lang w:eastAsia="hu-HU"/>
        </w:rPr>
        <w:fldChar w:fldCharType="end"/>
      </w:r>
      <w:r w:rsidRPr="007E723C">
        <w:rPr>
          <w:rFonts w:ascii="Georgia" w:eastAsia="Times New Roman" w:hAnsi="Georgia" w:cs="Times New Roman"/>
          <w:color w:val="000000"/>
          <w:sz w:val="24"/>
          <w:szCs w:val="24"/>
          <w:lang w:eastAsia="hu-HU"/>
        </w:rPr>
        <w:t xml:space="preserve"> </w:t>
      </w:r>
      <w:r w:rsidR="00E13858" w:rsidRPr="007E723C">
        <w:rPr>
          <w:rFonts w:ascii="Georgia" w:eastAsia="Times New Roman" w:hAnsi="Georgia" w:cs="Times New Roman"/>
          <w:color w:val="000000"/>
          <w:sz w:val="24"/>
          <w:szCs w:val="24"/>
          <w:lang w:eastAsia="hu-HU"/>
        </w:rPr>
        <w:t xml:space="preserve">úgy fogalmaz, hogy az érintett elmélet fókuszában tulajdonképpen az áll, hogy a vállalatok a működésük során kinek tartoznak felelősséggel. Ezzel szemben a vállalati társadalmi felelősségvállaláshoz kötődő elméletek azt a kérdést feszegetik, hogy miért is tartoznak a vállalatok felelősséggel. Innen pedig már csak egy lépés vezet a környezet és a vállalatok közötti kapcsolat fontosságát hangsúlyozó fenntartható fejlődés eszmerendszeréhez, mely egyszerre próbál választ adni mindkét kérdésre. Az alapját képező “triple bottom line” szerint egy vállalkozás akkor fenntartható, ha egyszere törekszik gazdasági, környezeti és társadalmi hasznok elérése. </w:t>
      </w:r>
    </w:p>
    <w:p w14:paraId="4373CD67" w14:textId="44E2B363" w:rsidR="00BC71D1" w:rsidRPr="007E723C" w:rsidRDefault="00BC71D1" w:rsidP="00FF7AC9">
      <w:pPr>
        <w:pStyle w:val="Cmsor3"/>
        <w:numPr>
          <w:ilvl w:val="2"/>
          <w:numId w:val="3"/>
        </w:numPr>
        <w:spacing w:after="160"/>
        <w:ind w:left="1701"/>
        <w:rPr>
          <w:rFonts w:ascii="Georgia" w:hAnsi="Georgia" w:cs="Times New Roman"/>
          <w:b/>
          <w:bCs/>
          <w:color w:val="auto"/>
        </w:rPr>
      </w:pPr>
      <w:bookmarkStart w:id="7" w:name="_Toc119421166"/>
      <w:r w:rsidRPr="007E723C">
        <w:rPr>
          <w:rFonts w:ascii="Georgia" w:hAnsi="Georgia" w:cs="Times New Roman"/>
          <w:b/>
          <w:bCs/>
          <w:color w:val="auto"/>
        </w:rPr>
        <w:lastRenderedPageBreak/>
        <w:t>A vállalati társadalmi felelősségvállalás (CSR) megközelítései</w:t>
      </w:r>
      <w:bookmarkEnd w:id="7"/>
    </w:p>
    <w:p w14:paraId="04926E8A" w14:textId="6CAD5C18" w:rsidR="00BC71D1" w:rsidRPr="007E723C" w:rsidRDefault="00BC16C0" w:rsidP="00FE7473">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felelős vállalati működés tehát egy olyan újszerű </w:t>
      </w:r>
      <w:r w:rsidR="0090201C" w:rsidRPr="007E723C">
        <w:rPr>
          <w:rFonts w:ascii="Georgia" w:hAnsi="Georgia" w:cs="Times New Roman"/>
          <w:sz w:val="24"/>
          <w:szCs w:val="24"/>
        </w:rPr>
        <w:t>vállalati felfogás</w:t>
      </w:r>
      <w:r w:rsidRPr="007E723C">
        <w:rPr>
          <w:rFonts w:ascii="Georgia" w:hAnsi="Georgia" w:cs="Times New Roman"/>
          <w:sz w:val="24"/>
          <w:szCs w:val="24"/>
        </w:rPr>
        <w:t>, amely az érintettek érdekeit helyezi a középpontba oly módon, hogy a haszonszerzés mellet</w:t>
      </w:r>
      <w:r w:rsidR="003A22ED" w:rsidRPr="007E723C">
        <w:rPr>
          <w:rFonts w:ascii="Georgia" w:hAnsi="Georgia" w:cs="Times New Roman"/>
          <w:sz w:val="24"/>
          <w:szCs w:val="24"/>
        </w:rPr>
        <w:t>t</w:t>
      </w:r>
      <w:r w:rsidRPr="007E723C">
        <w:rPr>
          <w:rFonts w:ascii="Georgia" w:hAnsi="Georgia" w:cs="Times New Roman"/>
          <w:sz w:val="24"/>
          <w:szCs w:val="24"/>
        </w:rPr>
        <w:t xml:space="preserve"> figyelembe vesz különböző környezeti és társadalmi hatásokat</w:t>
      </w:r>
      <w:r w:rsidR="00ED0037" w:rsidRPr="007E723C">
        <w:rPr>
          <w:rFonts w:ascii="Georgia" w:hAnsi="Georgia" w:cs="Times New Roman"/>
          <w:sz w:val="24"/>
          <w:szCs w:val="24"/>
        </w:rPr>
        <w:t xml:space="preserve"> is</w:t>
      </w:r>
      <w:r w:rsidRPr="007E723C">
        <w:rPr>
          <w:rFonts w:ascii="Georgia" w:hAnsi="Georgia" w:cs="Times New Roman"/>
          <w:sz w:val="24"/>
          <w:szCs w:val="24"/>
        </w:rPr>
        <w:t xml:space="preserve">. </w:t>
      </w:r>
      <w:r w:rsidR="008C3600" w:rsidRPr="007E723C">
        <w:rPr>
          <w:rFonts w:ascii="Georgia" w:hAnsi="Georgia" w:cs="Times New Roman"/>
          <w:sz w:val="24"/>
          <w:szCs w:val="24"/>
        </w:rPr>
        <w:t>A vállalati társadalmi felelősségvállalás egzakt meghatározása azonban a mai napig vitatott, így a szakirodalomban különféle megközelítések találhatók.</w:t>
      </w:r>
    </w:p>
    <w:p w14:paraId="12FA4DC0" w14:textId="6016AF67" w:rsidR="005D154A" w:rsidRPr="007E723C" w:rsidRDefault="00CA04BE" w:rsidP="00A80F9C">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vállalati társadalmi felelősségvállalás fogalma először az 1930-as években jelent meg, amikor is a vezetőkben felmerült az a gondolat, hogy a vállalatoknak tulajdonképpen nem csak gazdasági felelősségük van, hanem felelősséggel tartoznak a társadalom egyes csoportjai felé is</w:t>
      </w:r>
      <w:r w:rsidR="00E8404C" w:rsidRPr="007E723C">
        <w:rPr>
          <w:rFonts w:ascii="Georgia" w:hAnsi="Georgia" w:cs="Times New Roman"/>
          <w:sz w:val="24"/>
          <w:szCs w:val="24"/>
        </w:rPr>
        <w:t xml:space="preserve"> </w:t>
      </w:r>
      <w:r w:rsidR="00E8404C" w:rsidRPr="007E723C">
        <w:rPr>
          <w:rFonts w:ascii="Georgia" w:hAnsi="Georgia" w:cs="Times New Roman"/>
          <w:sz w:val="24"/>
          <w:szCs w:val="24"/>
        </w:rPr>
        <w:fldChar w:fldCharType="begin"/>
      </w:r>
      <w:r w:rsidR="00E8404C" w:rsidRPr="007E723C">
        <w:rPr>
          <w:rFonts w:ascii="Georgia" w:hAnsi="Georgia" w:cs="Times New Roman"/>
          <w:sz w:val="24"/>
          <w:szCs w:val="24"/>
        </w:rPr>
        <w:instrText xml:space="preserve"> ADDIN ZOTERO_ITEM CSL_CITATION {"citationID":"RuFHtmbu","properties":{"formattedCitation":"(Dodd, 1932)","plainCitation":"(Dodd, 1932)","noteIndex":0},"citationItems":[{"id":605,"uris":["http://zotero.org/users/9445126/items/SQBACJGB"],"itemData":{"id":605,"type":"article-journal","container-title":"Harvard Law Review","issue":"7","journalAbbreviation":"Harv. L. Rev.","page":"1145","title":"For Whom are Corporate Managers Trustees","volume":"45","author":[{"family":"Dodd","given":"E. Merrick Jr"}],"issued":{"date-parts":[["1932",5,8]]}}}],"schema":"https://github.com/citation-style-language/schema/raw/master/csl-citation.json"} </w:instrText>
      </w:r>
      <w:r w:rsidR="00E8404C" w:rsidRPr="007E723C">
        <w:rPr>
          <w:rFonts w:ascii="Georgia" w:hAnsi="Georgia" w:cs="Times New Roman"/>
          <w:sz w:val="24"/>
          <w:szCs w:val="24"/>
        </w:rPr>
        <w:fldChar w:fldCharType="separate"/>
      </w:r>
      <w:r w:rsidR="00E8404C" w:rsidRPr="007E723C">
        <w:rPr>
          <w:rFonts w:ascii="Georgia" w:hAnsi="Georgia" w:cs="Times New Roman"/>
          <w:sz w:val="24"/>
          <w:szCs w:val="24"/>
        </w:rPr>
        <w:t>(Dodd, 1932)</w:t>
      </w:r>
      <w:r w:rsidR="00E8404C" w:rsidRPr="007E723C">
        <w:rPr>
          <w:rFonts w:ascii="Georgia" w:hAnsi="Georgia" w:cs="Times New Roman"/>
          <w:sz w:val="24"/>
          <w:szCs w:val="24"/>
        </w:rPr>
        <w:fldChar w:fldCharType="end"/>
      </w:r>
      <w:r w:rsidRPr="007E723C">
        <w:rPr>
          <w:rFonts w:ascii="Georgia" w:hAnsi="Georgia" w:cs="Times New Roman"/>
          <w:sz w:val="24"/>
          <w:szCs w:val="24"/>
        </w:rPr>
        <w:t>.</w:t>
      </w:r>
      <w:r w:rsidR="00E8404C" w:rsidRPr="007E723C">
        <w:rPr>
          <w:rFonts w:ascii="Georgia" w:hAnsi="Georgia" w:cs="Times New Roman"/>
          <w:sz w:val="24"/>
          <w:szCs w:val="24"/>
        </w:rPr>
        <w:t xml:space="preserve"> </w:t>
      </w:r>
      <w:r w:rsidR="00E51C0B" w:rsidRPr="007E723C">
        <w:rPr>
          <w:rFonts w:ascii="Georgia" w:hAnsi="Georgia" w:cs="Times New Roman"/>
          <w:sz w:val="24"/>
          <w:szCs w:val="24"/>
        </w:rPr>
        <w:t>Elsőként</w:t>
      </w:r>
      <w:r w:rsidR="00E8404C" w:rsidRPr="007E723C">
        <w:rPr>
          <w:rFonts w:ascii="Georgia" w:hAnsi="Georgia" w:cs="Times New Roman"/>
          <w:sz w:val="24"/>
          <w:szCs w:val="24"/>
        </w:rPr>
        <w:t xml:space="preserve"> a CSR atyjának is tartott</w:t>
      </w:r>
      <w:r w:rsidR="006031F9" w:rsidRPr="007E723C">
        <w:rPr>
          <w:rFonts w:ascii="Georgia" w:hAnsi="Georgia" w:cs="Times New Roman"/>
          <w:sz w:val="24"/>
          <w:szCs w:val="24"/>
        </w:rPr>
        <w:t xml:space="preserve"> </w:t>
      </w:r>
      <w:r w:rsidR="006031F9" w:rsidRPr="007E723C">
        <w:rPr>
          <w:rFonts w:ascii="Georgia" w:hAnsi="Georgia" w:cs="Times New Roman"/>
          <w:sz w:val="24"/>
          <w:szCs w:val="24"/>
        </w:rPr>
        <w:fldChar w:fldCharType="begin"/>
      </w:r>
      <w:r w:rsidR="00E8404C" w:rsidRPr="007E723C">
        <w:rPr>
          <w:rFonts w:ascii="Georgia" w:hAnsi="Georgia" w:cs="Times New Roman"/>
          <w:sz w:val="24"/>
          <w:szCs w:val="24"/>
        </w:rPr>
        <w:instrText xml:space="preserve"> ADDIN ZOTERO_ITEM CSL_CITATION {"citationID":"OrHztIiY","properties":{"formattedCitation":"(1953)","plainCitation":"(1953)","dontUpdate":true,"noteIndex":0},"citationItems":[{"id":601,"uris":["http://zotero.org/users/9445126/items/AHI2N5M5"],"itemData":{"id":601,"type":"book","abstract":"Corporate social responsibility (CSR) expresses a fundamental morality in the way a company behaves toward society. It follows ethical behavior toward stakeholders and recognizes the spirit of the legal and regulatory environment. The idea of CSR gained momentum in the late 1950s and 1960s with the expansion of large conglomerate corporations and became a popular subject in the 1980s with R. Edward Freeman's Strategic Management: A Stakeholder Approach and the many key works of Archie B. Carroll, Peter F. Drucker, and others. In the wake of the financial crisis of 2008–2010, CSR has again become a focus for evaluating corporate behavior.  First published in 1953, Howard R. Bowen’s Social Responsibilities of the Businessman was the first comprehensive discussion of business ethics and social responsibility. It created a foundation by which business executives and academics could consider the subjects as part of strategic planning and managerial decision-making. Though written in another era, it is regularly and increasingly cited because of its relevance to the current ethical issues of business operations in the United States. Many experts believe it to be the seminal book on corporate social responsibility.  This new edition of the book includes an introduction by Jean-Pascal Gond, Professor of Corporate Social Responsibility at Cass Business School, City University of London, and a foreword by Peter Geoffrey Bowen, Daniels College of Business, University of Denver, who is Howard R. Bowen's eldest son.","ISBN":"978-1-60938-196-7","language":"en","note":"Google-Books-ID: ALIPAwAAQBAJ","number-of-pages":"267","publisher":"University of Iowa Press","source":"Google Books","title":"Social Responsibilities of the Businessman","author":[{"family":"Bowen","given":"Howard R."}],"issued":{"date-parts":[["1953"]]}},"label":"page","suppress-author":true}],"schema":"https://github.com/citation-style-language/schema/raw/master/csl-citation.json"} </w:instrText>
      </w:r>
      <w:r w:rsidR="006031F9" w:rsidRPr="007E723C">
        <w:rPr>
          <w:rFonts w:ascii="Georgia" w:hAnsi="Georgia" w:cs="Times New Roman"/>
          <w:sz w:val="24"/>
          <w:szCs w:val="24"/>
        </w:rPr>
        <w:fldChar w:fldCharType="separate"/>
      </w:r>
      <w:r w:rsidR="00D308D4" w:rsidRPr="007E723C">
        <w:rPr>
          <w:rFonts w:ascii="Georgia" w:hAnsi="Georgia" w:cs="Times New Roman"/>
          <w:sz w:val="24"/>
          <w:szCs w:val="24"/>
        </w:rPr>
        <w:t>Bowen (1953)</w:t>
      </w:r>
      <w:r w:rsidR="006031F9" w:rsidRPr="007E723C">
        <w:rPr>
          <w:rFonts w:ascii="Georgia" w:hAnsi="Georgia" w:cs="Times New Roman"/>
          <w:sz w:val="24"/>
          <w:szCs w:val="24"/>
        </w:rPr>
        <w:fldChar w:fldCharType="end"/>
      </w:r>
      <w:r w:rsidR="006031F9" w:rsidRPr="007E723C">
        <w:rPr>
          <w:rFonts w:ascii="Georgia" w:hAnsi="Georgia" w:cs="Times New Roman"/>
          <w:sz w:val="24"/>
          <w:szCs w:val="24"/>
        </w:rPr>
        <w:t xml:space="preserve"> tett kísérletet arra, hogy a vállalati társadalmi felelősségvállalás</w:t>
      </w:r>
      <w:r w:rsidR="00E51C0B" w:rsidRPr="007E723C">
        <w:rPr>
          <w:rFonts w:ascii="Georgia" w:hAnsi="Georgia" w:cs="Times New Roman"/>
          <w:sz w:val="24"/>
          <w:szCs w:val="24"/>
        </w:rPr>
        <w:t xml:space="preserve"> fogalmát</w:t>
      </w:r>
      <w:r w:rsidR="006031F9" w:rsidRPr="007E723C">
        <w:rPr>
          <w:rFonts w:ascii="Georgia" w:hAnsi="Georgia" w:cs="Times New Roman"/>
          <w:sz w:val="24"/>
          <w:szCs w:val="24"/>
        </w:rPr>
        <w:t xml:space="preserve"> definiálja. Meglátása szerint a vezetőknek úgy kell döntéseket hozniuk és a vállalatot működtetniük, hogy az a társadalom érdekeit szolgálja, céljaiknak és értékeinek megfeleljen.</w:t>
      </w:r>
      <w:r w:rsidR="00A80F9C" w:rsidRPr="007E723C">
        <w:rPr>
          <w:rFonts w:ascii="Georgia" w:hAnsi="Georgia" w:cs="Times New Roman"/>
          <w:sz w:val="24"/>
          <w:szCs w:val="24"/>
        </w:rPr>
        <w:t xml:space="preserve"> </w:t>
      </w:r>
      <w:r w:rsidR="00D308D4" w:rsidRPr="007E723C">
        <w:rPr>
          <w:rFonts w:ascii="Georgia" w:hAnsi="Georgia" w:cs="Times New Roman"/>
          <w:sz w:val="24"/>
          <w:szCs w:val="24"/>
        </w:rPr>
        <w:t xml:space="preserve">A 70-es években számos más kutató is </w:t>
      </w:r>
      <w:r w:rsidR="00E51C0B" w:rsidRPr="007E723C">
        <w:rPr>
          <w:rFonts w:ascii="Georgia" w:hAnsi="Georgia" w:cs="Times New Roman"/>
          <w:sz w:val="24"/>
          <w:szCs w:val="24"/>
        </w:rPr>
        <w:t>kísérletet tett</w:t>
      </w:r>
      <w:r w:rsidR="00D308D4" w:rsidRPr="007E723C">
        <w:rPr>
          <w:rFonts w:ascii="Georgia" w:hAnsi="Georgia" w:cs="Times New Roman"/>
          <w:sz w:val="24"/>
          <w:szCs w:val="24"/>
        </w:rPr>
        <w:t xml:space="preserve"> a vállalati társadalmi felelősségvállalást</w:t>
      </w:r>
      <w:r w:rsidR="00E51C0B" w:rsidRPr="007E723C">
        <w:rPr>
          <w:rFonts w:ascii="Georgia" w:hAnsi="Georgia" w:cs="Times New Roman"/>
          <w:sz w:val="24"/>
          <w:szCs w:val="24"/>
        </w:rPr>
        <w:t xml:space="preserve"> definiálására</w:t>
      </w:r>
      <w:r w:rsidR="00D308D4" w:rsidRPr="007E723C">
        <w:rPr>
          <w:rFonts w:ascii="Georgia" w:hAnsi="Georgia" w:cs="Times New Roman"/>
          <w:sz w:val="24"/>
          <w:szCs w:val="24"/>
        </w:rPr>
        <w:t>. Az egyik kritikus megfogalmazás</w:t>
      </w:r>
      <w:r w:rsidR="001446C4" w:rsidRPr="007E723C">
        <w:rPr>
          <w:rFonts w:ascii="Georgia" w:hAnsi="Georgia" w:cs="Times New Roman"/>
          <w:sz w:val="24"/>
          <w:szCs w:val="24"/>
        </w:rPr>
        <w:t xml:space="preserve"> Friedman </w:t>
      </w:r>
      <w:r w:rsidR="001446C4" w:rsidRPr="007E723C">
        <w:rPr>
          <w:rFonts w:ascii="Georgia" w:hAnsi="Georgia" w:cs="Times New Roman"/>
          <w:sz w:val="24"/>
          <w:szCs w:val="24"/>
        </w:rPr>
        <w:fldChar w:fldCharType="begin"/>
      </w:r>
      <w:r w:rsidR="001446C4" w:rsidRPr="007E723C">
        <w:rPr>
          <w:rFonts w:ascii="Georgia" w:hAnsi="Georgia" w:cs="Times New Roman"/>
          <w:sz w:val="24"/>
          <w:szCs w:val="24"/>
        </w:rPr>
        <w:instrText xml:space="preserve"> ADDIN ZOTERO_ITEM CSL_CITATION {"citationID":"Sq4YQ6Nq","properties":{"formattedCitation":"(1970)","plainCitation":"(1970)","noteIndex":0},"citationItems":[{"id":610,"uris":["http://zotero.org/users/9445126/items/NJPSBAH8"],"itemData":{"id":610,"type":"article-journal","container-title":"The New York Times Magazine","issue":"1970","page":"32–33","source":"Google Scholar","title":"A Friedman doctrine: The social responsibility of business is to increase its profits","title-short":"A Friedman doctrine","volume":"13","author":[{"family":"Friedman","given":"Milton"}],"issued":{"date-parts":[["1970"]]}},"label":"page","suppress-author":true}],"schema":"https://github.com/citation-style-language/schema/raw/master/csl-citation.json"} </w:instrText>
      </w:r>
      <w:r w:rsidR="001446C4" w:rsidRPr="007E723C">
        <w:rPr>
          <w:rFonts w:ascii="Georgia" w:hAnsi="Georgia" w:cs="Times New Roman"/>
          <w:sz w:val="24"/>
          <w:szCs w:val="24"/>
        </w:rPr>
        <w:fldChar w:fldCharType="separate"/>
      </w:r>
      <w:r w:rsidR="001446C4" w:rsidRPr="007E723C">
        <w:rPr>
          <w:rFonts w:ascii="Georgia" w:hAnsi="Georgia" w:cs="Times New Roman"/>
          <w:sz w:val="24"/>
          <w:szCs w:val="24"/>
        </w:rPr>
        <w:t>(1970)</w:t>
      </w:r>
      <w:r w:rsidR="001446C4" w:rsidRPr="007E723C">
        <w:rPr>
          <w:rFonts w:ascii="Georgia" w:hAnsi="Georgia" w:cs="Times New Roman"/>
          <w:sz w:val="24"/>
          <w:szCs w:val="24"/>
        </w:rPr>
        <w:fldChar w:fldCharType="end"/>
      </w:r>
      <w:r w:rsidR="00D308D4" w:rsidRPr="007E723C">
        <w:rPr>
          <w:rFonts w:ascii="Georgia" w:hAnsi="Georgia" w:cs="Times New Roman"/>
          <w:sz w:val="24"/>
          <w:szCs w:val="24"/>
        </w:rPr>
        <w:t xml:space="preserve"> nevéhez fűződik, </w:t>
      </w:r>
      <w:r w:rsidR="008E658F" w:rsidRPr="007E723C">
        <w:rPr>
          <w:rFonts w:ascii="Georgia" w:hAnsi="Georgia" w:cs="Times New Roman"/>
          <w:sz w:val="24"/>
          <w:szCs w:val="24"/>
        </w:rPr>
        <w:t>aki szerint a CSR egy lehetetlen fogalom</w:t>
      </w:r>
      <w:r w:rsidR="0016137A" w:rsidRPr="007E723C">
        <w:rPr>
          <w:rFonts w:ascii="Georgia" w:hAnsi="Georgia" w:cs="Times New Roman"/>
          <w:sz w:val="24"/>
          <w:szCs w:val="24"/>
        </w:rPr>
        <w:t>. Véleménye szerint a vezetők egyénileg lehetnek ugyan felelősek a társadalom felé, de ha ezt, mint vállalat teszik, akkor</w:t>
      </w:r>
      <w:r w:rsidR="008E658F" w:rsidRPr="007E723C">
        <w:rPr>
          <w:rFonts w:ascii="Georgia" w:hAnsi="Georgia" w:cs="Times New Roman"/>
          <w:sz w:val="24"/>
          <w:szCs w:val="24"/>
        </w:rPr>
        <w:t xml:space="preserve"> a fenntarthatóság érdekében eszközölt kiadások </w:t>
      </w:r>
      <w:r w:rsidR="0016137A" w:rsidRPr="007E723C">
        <w:rPr>
          <w:rFonts w:ascii="Georgia" w:hAnsi="Georgia" w:cs="Times New Roman"/>
          <w:sz w:val="24"/>
          <w:szCs w:val="24"/>
        </w:rPr>
        <w:t>tulajdonképpen</w:t>
      </w:r>
      <w:r w:rsidR="00E51C0B" w:rsidRPr="007E723C">
        <w:rPr>
          <w:rFonts w:ascii="Georgia" w:hAnsi="Georgia" w:cs="Times New Roman"/>
          <w:sz w:val="24"/>
          <w:szCs w:val="24"/>
        </w:rPr>
        <w:t xml:space="preserve"> a</w:t>
      </w:r>
      <w:r w:rsidR="008E658F" w:rsidRPr="007E723C">
        <w:rPr>
          <w:rFonts w:ascii="Georgia" w:hAnsi="Georgia" w:cs="Times New Roman"/>
          <w:sz w:val="24"/>
          <w:szCs w:val="24"/>
        </w:rPr>
        <w:t xml:space="preserve"> tulajdonosi vagyon pazarlását jelentik.</w:t>
      </w:r>
      <w:r w:rsidR="0016137A" w:rsidRPr="007E723C">
        <w:rPr>
          <w:rFonts w:ascii="Georgia" w:hAnsi="Georgia" w:cs="Times New Roman"/>
          <w:sz w:val="24"/>
          <w:szCs w:val="24"/>
        </w:rPr>
        <w:t xml:space="preserve"> Friedman </w:t>
      </w:r>
      <w:r w:rsidR="001446C4" w:rsidRPr="007E723C">
        <w:rPr>
          <w:rFonts w:ascii="Georgia" w:hAnsi="Georgia" w:cs="Times New Roman"/>
          <w:sz w:val="24"/>
          <w:szCs w:val="24"/>
        </w:rPr>
        <w:fldChar w:fldCharType="begin"/>
      </w:r>
      <w:r w:rsidR="001446C4" w:rsidRPr="007E723C">
        <w:rPr>
          <w:rFonts w:ascii="Georgia" w:hAnsi="Georgia" w:cs="Times New Roman"/>
          <w:sz w:val="24"/>
          <w:szCs w:val="24"/>
        </w:rPr>
        <w:instrText xml:space="preserve"> ADDIN ZOTERO_ITEM CSL_CITATION {"citationID":"mowoKmCk","properties":{"formattedCitation":"(1970)","plainCitation":"(1970)","noteIndex":0},"citationItems":[{"id":610,"uris":["http://zotero.org/users/9445126/items/NJPSBAH8"],"itemData":{"id":610,"type":"article-journal","container-title":"The New York Times Magazine","issue":"1970","page":"32–33","source":"Google Scholar","title":"A Friedman doctrine: The social responsibility of business is to increase its profits","title-short":"A Friedman doctrine","volume":"13","author":[{"family":"Friedman","given":"Milton"}],"issued":{"date-parts":[["1970"]]}},"label":"page","suppress-author":true}],"schema":"https://github.com/citation-style-language/schema/raw/master/csl-citation.json"} </w:instrText>
      </w:r>
      <w:r w:rsidR="001446C4" w:rsidRPr="007E723C">
        <w:rPr>
          <w:rFonts w:ascii="Georgia" w:hAnsi="Georgia" w:cs="Times New Roman"/>
          <w:sz w:val="24"/>
          <w:szCs w:val="24"/>
        </w:rPr>
        <w:fldChar w:fldCharType="separate"/>
      </w:r>
      <w:r w:rsidR="001446C4" w:rsidRPr="007E723C">
        <w:rPr>
          <w:rFonts w:ascii="Georgia" w:hAnsi="Georgia" w:cs="Times New Roman"/>
          <w:sz w:val="24"/>
          <w:szCs w:val="24"/>
        </w:rPr>
        <w:t>(1970)</w:t>
      </w:r>
      <w:r w:rsidR="001446C4" w:rsidRPr="007E723C">
        <w:rPr>
          <w:rFonts w:ascii="Georgia" w:hAnsi="Georgia" w:cs="Times New Roman"/>
          <w:sz w:val="24"/>
          <w:szCs w:val="24"/>
        </w:rPr>
        <w:fldChar w:fldCharType="end"/>
      </w:r>
      <w:r w:rsidR="001446C4" w:rsidRPr="007E723C">
        <w:rPr>
          <w:rFonts w:ascii="Georgia" w:hAnsi="Georgia" w:cs="Times New Roman"/>
          <w:sz w:val="24"/>
          <w:szCs w:val="24"/>
        </w:rPr>
        <w:t xml:space="preserve"> </w:t>
      </w:r>
      <w:r w:rsidR="0016137A" w:rsidRPr="007E723C">
        <w:rPr>
          <w:rFonts w:ascii="Georgia" w:hAnsi="Georgia" w:cs="Times New Roman"/>
          <w:sz w:val="24"/>
          <w:szCs w:val="24"/>
        </w:rPr>
        <w:t>azzal érvelt, hogy a vállalat felelőssége annyiban merül ki, hogy tevékenysége révén nyereséget generáljon.</w:t>
      </w:r>
      <w:r w:rsidR="008E658F" w:rsidRPr="007E723C">
        <w:rPr>
          <w:rFonts w:ascii="Georgia" w:hAnsi="Georgia" w:cs="Times New Roman"/>
          <w:sz w:val="24"/>
          <w:szCs w:val="24"/>
        </w:rPr>
        <w:t xml:space="preserve"> </w:t>
      </w:r>
      <w:r w:rsidR="005D154A" w:rsidRPr="007E723C">
        <w:rPr>
          <w:rFonts w:ascii="Georgia" w:hAnsi="Georgia" w:cs="Times New Roman"/>
          <w:sz w:val="24"/>
          <w:szCs w:val="24"/>
        </w:rPr>
        <w:t>Kritikus nézete ellenére azonban a CSR egyre inkább elfogadottá vált az üzleti életben.</w:t>
      </w:r>
    </w:p>
    <w:p w14:paraId="3539CE79" w14:textId="354B2AFD" w:rsidR="00ED4732" w:rsidRPr="007E723C" w:rsidRDefault="005D154A" w:rsidP="000C2A42">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társadalmi felelősségvállalás egyik legszélesebb körben</w:t>
      </w:r>
      <w:r w:rsidR="009C2980" w:rsidRPr="007E723C">
        <w:rPr>
          <w:rFonts w:ascii="Georgia" w:hAnsi="Georgia" w:cs="Times New Roman"/>
          <w:sz w:val="24"/>
          <w:szCs w:val="24"/>
        </w:rPr>
        <w:t xml:space="preserve"> elterjedt és</w:t>
      </w:r>
      <w:r w:rsidRPr="007E723C">
        <w:rPr>
          <w:rFonts w:ascii="Georgia" w:hAnsi="Georgia" w:cs="Times New Roman"/>
          <w:sz w:val="24"/>
          <w:szCs w:val="24"/>
        </w:rPr>
        <w:t xml:space="preserve"> alkalmazott definícióját Carroll </w:t>
      </w:r>
      <w:r w:rsidR="009C2980" w:rsidRPr="007E723C">
        <w:rPr>
          <w:rFonts w:ascii="Georgia" w:hAnsi="Georgia" w:cs="Times New Roman"/>
          <w:sz w:val="24"/>
          <w:szCs w:val="24"/>
        </w:rPr>
        <w:fldChar w:fldCharType="begin"/>
      </w:r>
      <w:r w:rsidR="009C2980" w:rsidRPr="007E723C">
        <w:rPr>
          <w:rFonts w:ascii="Georgia" w:hAnsi="Georgia" w:cs="Times New Roman"/>
          <w:sz w:val="24"/>
          <w:szCs w:val="24"/>
        </w:rPr>
        <w:instrText xml:space="preserve"> ADDIN ZOTERO_ITEM CSL_CITATION {"citationID":"jiBPQGT3","properties":{"formattedCitation":"(1991)","plainCitation":"(1991)","noteIndex":0},"citationItems":[{"id":612,"uris":["http://zotero.org/users/9445126/items/YS5UTAVQ"],"itemData":{"id":612,"type":"article-journal","container-title":"Business horizons","issue":"4","note":"publisher: Amsterdam","page":"39–48","source":"Google Scholar","title":"The pyramid of corporate social responsibility: Toward the moral management of organizational stakeholders","title-short":"The pyramid of corporate social responsibility","volume":"34","author":[{"family":"Carroll","given":"Archie B."}],"issued":{"date-parts":[["1991"]]}},"label":"page","suppress-author":true}],"schema":"https://github.com/citation-style-language/schema/raw/master/csl-citation.json"} </w:instrText>
      </w:r>
      <w:r w:rsidR="009C2980" w:rsidRPr="007E723C">
        <w:rPr>
          <w:rFonts w:ascii="Georgia" w:hAnsi="Georgia" w:cs="Times New Roman"/>
          <w:sz w:val="24"/>
          <w:szCs w:val="24"/>
        </w:rPr>
        <w:fldChar w:fldCharType="separate"/>
      </w:r>
      <w:r w:rsidR="009C2980" w:rsidRPr="007E723C">
        <w:rPr>
          <w:rFonts w:ascii="Georgia" w:hAnsi="Georgia" w:cs="Times New Roman"/>
          <w:sz w:val="24"/>
          <w:szCs w:val="24"/>
        </w:rPr>
        <w:t>(1991)</w:t>
      </w:r>
      <w:r w:rsidR="009C2980" w:rsidRPr="007E723C">
        <w:rPr>
          <w:rFonts w:ascii="Georgia" w:hAnsi="Georgia" w:cs="Times New Roman"/>
          <w:sz w:val="24"/>
          <w:szCs w:val="24"/>
        </w:rPr>
        <w:fldChar w:fldCharType="end"/>
      </w:r>
      <w:r w:rsidR="009C2980" w:rsidRPr="007E723C">
        <w:rPr>
          <w:rFonts w:ascii="Georgia" w:hAnsi="Georgia" w:cs="Times New Roman"/>
          <w:sz w:val="24"/>
          <w:szCs w:val="24"/>
        </w:rPr>
        <w:t xml:space="preserve"> </w:t>
      </w:r>
      <w:r w:rsidRPr="007E723C">
        <w:rPr>
          <w:rFonts w:ascii="Georgia" w:hAnsi="Georgia" w:cs="Times New Roman"/>
          <w:sz w:val="24"/>
          <w:szCs w:val="24"/>
        </w:rPr>
        <w:t>alkotta meg, aki</w:t>
      </w:r>
      <w:r w:rsidR="0049475E" w:rsidRPr="007E723C">
        <w:rPr>
          <w:rFonts w:ascii="Georgia" w:hAnsi="Georgia" w:cs="Times New Roman"/>
          <w:sz w:val="24"/>
          <w:szCs w:val="24"/>
        </w:rPr>
        <w:t xml:space="preserve"> multidimenzionális</w:t>
      </w:r>
      <w:r w:rsidRPr="007E723C">
        <w:rPr>
          <w:rFonts w:ascii="Georgia" w:hAnsi="Georgia" w:cs="Times New Roman"/>
          <w:sz w:val="24"/>
          <w:szCs w:val="24"/>
        </w:rPr>
        <w:t xml:space="preserve"> modelljében a vállalatok számára négy felelősségi szintet határoz</w:t>
      </w:r>
      <w:r w:rsidR="009C2980" w:rsidRPr="007E723C">
        <w:rPr>
          <w:rFonts w:ascii="Georgia" w:hAnsi="Georgia" w:cs="Times New Roman"/>
          <w:sz w:val="24"/>
          <w:szCs w:val="24"/>
        </w:rPr>
        <w:t>ott</w:t>
      </w:r>
      <w:r w:rsidRPr="007E723C">
        <w:rPr>
          <w:rFonts w:ascii="Georgia" w:hAnsi="Georgia" w:cs="Times New Roman"/>
          <w:sz w:val="24"/>
          <w:szCs w:val="24"/>
        </w:rPr>
        <w:t xml:space="preserve"> meg.</w:t>
      </w:r>
      <w:r w:rsidR="00E13858" w:rsidRPr="007E723C">
        <w:rPr>
          <w:rFonts w:ascii="Georgia" w:hAnsi="Georgia" w:cs="Times New Roman"/>
          <w:sz w:val="24"/>
          <w:szCs w:val="24"/>
        </w:rPr>
        <w:t xml:space="preserve"> </w:t>
      </w:r>
      <w:r w:rsidR="009C2980" w:rsidRPr="007E723C">
        <w:rPr>
          <w:rFonts w:ascii="Georgia" w:hAnsi="Georgia" w:cs="Times New Roman"/>
          <w:sz w:val="24"/>
          <w:szCs w:val="24"/>
        </w:rPr>
        <w:t xml:space="preserve">A </w:t>
      </w:r>
      <w:r w:rsidR="009C2980" w:rsidRPr="007E723C">
        <w:rPr>
          <w:rFonts w:ascii="Georgia" w:hAnsi="Georgia" w:cs="Times New Roman"/>
          <w:i/>
          <w:iCs/>
          <w:sz w:val="24"/>
          <w:szCs w:val="24"/>
        </w:rPr>
        <w:t>gazdasági felelősség</w:t>
      </w:r>
      <w:r w:rsidR="009C2980" w:rsidRPr="007E723C">
        <w:rPr>
          <w:rFonts w:ascii="Georgia" w:hAnsi="Georgia" w:cs="Times New Roman"/>
          <w:sz w:val="24"/>
          <w:szCs w:val="24"/>
        </w:rPr>
        <w:t xml:space="preserve"> lényegében arról szól</w:t>
      </w:r>
      <w:r w:rsidR="00EF3FA3" w:rsidRPr="007E723C">
        <w:rPr>
          <w:rFonts w:ascii="Georgia" w:hAnsi="Georgia" w:cs="Times New Roman"/>
          <w:sz w:val="24"/>
          <w:szCs w:val="24"/>
        </w:rPr>
        <w:t>, hogy a vállalatok törekedjenek arra, amiért kezdetben létrejöttek, vagyis a profitmaximalizálására, erős piaci pozíció fenntartására és magas működési hatékonyság elérésére</w:t>
      </w:r>
      <w:r w:rsidR="00E13858" w:rsidRPr="007E723C">
        <w:rPr>
          <w:rFonts w:ascii="Georgia" w:hAnsi="Georgia" w:cs="Times New Roman"/>
          <w:sz w:val="24"/>
          <w:szCs w:val="24"/>
        </w:rPr>
        <w:t xml:space="preserve">. </w:t>
      </w:r>
      <w:r w:rsidR="00EF3FA3" w:rsidRPr="007E723C">
        <w:rPr>
          <w:rFonts w:ascii="Georgia" w:hAnsi="Georgia" w:cs="Times New Roman"/>
          <w:sz w:val="24"/>
          <w:szCs w:val="24"/>
        </w:rPr>
        <w:t xml:space="preserve">A </w:t>
      </w:r>
      <w:r w:rsidR="00EF3FA3" w:rsidRPr="007E723C">
        <w:rPr>
          <w:rFonts w:ascii="Georgia" w:hAnsi="Georgia" w:cs="Times New Roman"/>
          <w:i/>
          <w:iCs/>
          <w:sz w:val="24"/>
          <w:szCs w:val="24"/>
        </w:rPr>
        <w:t>jogi felelősség</w:t>
      </w:r>
      <w:r w:rsidR="00EF3FA3" w:rsidRPr="007E723C">
        <w:rPr>
          <w:rFonts w:ascii="Georgia" w:hAnsi="Georgia" w:cs="Times New Roman"/>
          <w:sz w:val="24"/>
          <w:szCs w:val="24"/>
        </w:rPr>
        <w:t xml:space="preserve"> annak fontosságát hangsúlyozza, hogy a vállalatoknak a gazdasági felelősségüknek a megfelelő jogszabályi keretek között kell eleget tenniük, vagyis be kell tartaniuk a rájuk vonatkozó törvényeket, előírásokat, rendeleteket, illetve az általuk kínált termékeknek és szolgáltatásoknak is </w:t>
      </w:r>
      <w:r w:rsidR="00A87CEE" w:rsidRPr="007E723C">
        <w:rPr>
          <w:rFonts w:ascii="Georgia" w:hAnsi="Georgia" w:cs="Times New Roman"/>
          <w:sz w:val="24"/>
          <w:szCs w:val="24"/>
        </w:rPr>
        <w:t>teljesíteniük kell a jogi követelményeket.</w:t>
      </w:r>
      <w:r w:rsidR="00E13858" w:rsidRPr="007E723C">
        <w:rPr>
          <w:rFonts w:ascii="Georgia" w:hAnsi="Georgia" w:cs="Times New Roman"/>
          <w:sz w:val="24"/>
          <w:szCs w:val="24"/>
        </w:rPr>
        <w:t xml:space="preserve"> </w:t>
      </w:r>
      <w:r w:rsidR="00A87CEE" w:rsidRPr="007E723C">
        <w:rPr>
          <w:rFonts w:ascii="Georgia" w:hAnsi="Georgia" w:cs="Times New Roman"/>
          <w:sz w:val="24"/>
          <w:szCs w:val="24"/>
        </w:rPr>
        <w:t xml:space="preserve">Az </w:t>
      </w:r>
      <w:r w:rsidR="00A87CEE" w:rsidRPr="007E723C">
        <w:rPr>
          <w:rFonts w:ascii="Georgia" w:hAnsi="Georgia" w:cs="Times New Roman"/>
          <w:i/>
          <w:iCs/>
          <w:sz w:val="24"/>
          <w:szCs w:val="24"/>
        </w:rPr>
        <w:lastRenderedPageBreak/>
        <w:t>etikai felelősség</w:t>
      </w:r>
      <w:r w:rsidR="009347B0" w:rsidRPr="007E723C">
        <w:rPr>
          <w:rFonts w:ascii="Georgia" w:hAnsi="Georgia" w:cs="Times New Roman"/>
          <w:sz w:val="24"/>
          <w:szCs w:val="24"/>
        </w:rPr>
        <w:t xml:space="preserve"> valamelyest túlmutat a jogi felelősségen, hiszen itt arról van szó, hogy a vállalatoknak be kell tartaniuk azokat az elvárásokat </w:t>
      </w:r>
      <w:r w:rsidR="00ED4732" w:rsidRPr="007E723C">
        <w:rPr>
          <w:rFonts w:ascii="Georgia" w:hAnsi="Georgia" w:cs="Times New Roman"/>
          <w:sz w:val="24"/>
          <w:szCs w:val="24"/>
        </w:rPr>
        <w:t>is, amelyek nincsenek jogszabályi szinten megfogalmazva. A felelősségnek ezen szintje tehát azt jelenti, hogy a vállalatoknak oly módon kell működniük, hogy a</w:t>
      </w:r>
      <w:r w:rsidR="00E51C0B" w:rsidRPr="007E723C">
        <w:rPr>
          <w:rFonts w:ascii="Georgia" w:hAnsi="Georgia" w:cs="Times New Roman"/>
          <w:sz w:val="24"/>
          <w:szCs w:val="24"/>
        </w:rPr>
        <w:t>z a</w:t>
      </w:r>
      <w:r w:rsidR="00ED4732" w:rsidRPr="007E723C">
        <w:rPr>
          <w:rFonts w:ascii="Georgia" w:hAnsi="Georgia" w:cs="Times New Roman"/>
          <w:sz w:val="24"/>
          <w:szCs w:val="24"/>
        </w:rPr>
        <w:t xml:space="preserve"> társadalmi és etikai normáknak, valamint az érintettek elvárásainak megfeleljenek. Mindez egyfajta etikus magatartást jelent a vállalatok számára</w:t>
      </w:r>
      <w:r w:rsidR="004B031A" w:rsidRPr="007E723C">
        <w:rPr>
          <w:rFonts w:ascii="Georgia" w:hAnsi="Georgia" w:cs="Times New Roman"/>
          <w:sz w:val="24"/>
          <w:szCs w:val="24"/>
        </w:rPr>
        <w:fldChar w:fldCharType="begin"/>
      </w:r>
      <w:r w:rsidR="00C76BA0" w:rsidRPr="007E723C">
        <w:rPr>
          <w:rFonts w:ascii="Georgia" w:hAnsi="Georgia" w:cs="Times New Roman"/>
          <w:sz w:val="24"/>
          <w:szCs w:val="24"/>
        </w:rPr>
        <w:instrText xml:space="preserve"> ADDIN ZOTERO_ITEM CSL_CITATION {"citationID":"vjGAPmUK","properties":{"formattedCitation":"(Carroll, 1991)","plainCitation":"(Carroll, 1991)","dontUpdate":true,"noteIndex":0},"citationItems":[{"id":612,"uris":["http://zotero.org/users/9445126/items/YS5UTAVQ"],"itemData":{"id":612,"type":"article-journal","container-title":"Business horizons","issue":"4","note":"publisher: Amsterdam","page":"39–48","source":"Google Scholar","title":"The pyramid of corporate social responsibility: Toward the moral management of organizational stakeholders","title-short":"The pyramid of corporate social responsibility","volume":"34","author":[{"family":"Carroll","given":"Archie B."}],"issued":{"date-parts":[["1991"]]}}}],"schema":"https://github.com/citation-style-language/schema/raw/master/csl-citation.json"} </w:instrText>
      </w:r>
      <w:r w:rsidR="004B031A" w:rsidRPr="007E723C">
        <w:rPr>
          <w:rFonts w:ascii="Georgia" w:hAnsi="Georgia" w:cs="Times New Roman"/>
          <w:sz w:val="24"/>
          <w:szCs w:val="24"/>
        </w:rPr>
        <w:fldChar w:fldCharType="end"/>
      </w:r>
      <w:r w:rsidR="00ED4732" w:rsidRPr="007E723C">
        <w:rPr>
          <w:rFonts w:ascii="Georgia" w:hAnsi="Georgia" w:cs="Times New Roman"/>
          <w:sz w:val="24"/>
          <w:szCs w:val="24"/>
        </w:rPr>
        <w:t>.</w:t>
      </w:r>
      <w:r w:rsidR="00E13858" w:rsidRPr="007E723C">
        <w:rPr>
          <w:rFonts w:ascii="Georgia" w:hAnsi="Georgia" w:cs="Times New Roman"/>
          <w:sz w:val="24"/>
          <w:szCs w:val="24"/>
        </w:rPr>
        <w:t xml:space="preserve"> </w:t>
      </w:r>
      <w:r w:rsidR="00ED4732" w:rsidRPr="007E723C">
        <w:rPr>
          <w:rFonts w:ascii="Georgia" w:hAnsi="Georgia" w:cs="Times New Roman"/>
          <w:sz w:val="24"/>
          <w:szCs w:val="24"/>
        </w:rPr>
        <w:t xml:space="preserve">A </w:t>
      </w:r>
      <w:r w:rsidR="00ED4732" w:rsidRPr="007E723C">
        <w:rPr>
          <w:rFonts w:ascii="Georgia" w:hAnsi="Georgia" w:cs="Times New Roman"/>
          <w:i/>
          <w:iCs/>
          <w:sz w:val="24"/>
          <w:szCs w:val="24"/>
        </w:rPr>
        <w:t>filantropikus felelősség</w:t>
      </w:r>
      <w:r w:rsidR="00ED4732" w:rsidRPr="007E723C">
        <w:rPr>
          <w:rFonts w:ascii="Georgia" w:hAnsi="Georgia" w:cs="Times New Roman"/>
          <w:sz w:val="24"/>
          <w:szCs w:val="24"/>
        </w:rPr>
        <w:t xml:space="preserve"> pedig már túlmutat az előző három szinten</w:t>
      </w:r>
      <w:r w:rsidR="004B031A" w:rsidRPr="007E723C">
        <w:rPr>
          <w:rFonts w:ascii="Georgia" w:hAnsi="Georgia" w:cs="Times New Roman"/>
          <w:sz w:val="24"/>
          <w:szCs w:val="24"/>
        </w:rPr>
        <w:t xml:space="preserve"> és olyan vállalati akciókat hangsúlyoz, melyek elősegítik a társadalmi jólét és az életminőség növelését. Ezt pedig különböző közösségi önkéntes tevékenységben való részvétel által tudják a vállalatok elérni.</w:t>
      </w:r>
    </w:p>
    <w:p w14:paraId="10AE1C67" w14:textId="6817690F" w:rsidR="00056948" w:rsidRPr="007E723C" w:rsidRDefault="0049475E" w:rsidP="000C2A42">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Az elmúlt évtizedekben a CSR fogalma tovább formálódott. Mivel az</w:t>
      </w:r>
      <w:r w:rsidR="006768E8" w:rsidRPr="007E723C">
        <w:rPr>
          <w:rFonts w:ascii="Georgia" w:hAnsi="Georgia" w:cs="Times New Roman"/>
          <w:sz w:val="24"/>
          <w:szCs w:val="24"/>
        </w:rPr>
        <w:t xml:space="preserve"> Európai Unió a car</w:t>
      </w:r>
      <w:r w:rsidRPr="007E723C">
        <w:rPr>
          <w:rFonts w:ascii="Georgia" w:hAnsi="Georgia" w:cs="Times New Roman"/>
          <w:sz w:val="24"/>
          <w:szCs w:val="24"/>
        </w:rPr>
        <w:t>r</w:t>
      </w:r>
      <w:r w:rsidR="006768E8" w:rsidRPr="007E723C">
        <w:rPr>
          <w:rFonts w:ascii="Georgia" w:hAnsi="Georgia" w:cs="Times New Roman"/>
          <w:sz w:val="24"/>
          <w:szCs w:val="24"/>
        </w:rPr>
        <w:t xml:space="preserve">oll-i multidimenzionális megközelítés első két szintjét nem ismerte el a vállalati társadalmi felelősségvállalás definíciójaként, így 2001-ben az EU Bizottsága kiadta a Zöld Könyv-et, mely szerint </w:t>
      </w:r>
      <w:r w:rsidR="00056948" w:rsidRPr="007E723C">
        <w:rPr>
          <w:rFonts w:ascii="Georgia" w:hAnsi="Georgia" w:cs="Times New Roman"/>
          <w:sz w:val="24"/>
          <w:szCs w:val="24"/>
        </w:rPr>
        <w:t>akkor beszélhetünk társadalmi felelősségvállalásról, ha a vállalatok</w:t>
      </w:r>
      <w:r w:rsidR="006768E8" w:rsidRPr="007E723C">
        <w:rPr>
          <w:rFonts w:ascii="Georgia" w:hAnsi="Georgia" w:cs="Times New Roman"/>
          <w:sz w:val="24"/>
          <w:szCs w:val="24"/>
        </w:rPr>
        <w:t xml:space="preserve"> önkéntesen </w:t>
      </w:r>
      <w:r w:rsidR="00056948" w:rsidRPr="007E723C">
        <w:rPr>
          <w:rFonts w:ascii="Georgia" w:hAnsi="Georgia" w:cs="Times New Roman"/>
          <w:sz w:val="24"/>
          <w:szCs w:val="24"/>
        </w:rPr>
        <w:t>környezeti és szociális érdekeket is figyelembe vesznek a működésükben és a partneri kapcsolataikban</w:t>
      </w:r>
      <w:r w:rsidRPr="007E723C">
        <w:rPr>
          <w:rFonts w:ascii="Georgia" w:hAnsi="Georgia" w:cs="Times New Roman"/>
          <w:sz w:val="24"/>
          <w:szCs w:val="24"/>
        </w:rPr>
        <w:t>, illetve felelősséget vállalnak azokért a hatásokért, amelyeket működésükkel a társadalom számára okoznak</w:t>
      </w:r>
      <w:r w:rsidR="00BB77D4" w:rsidRPr="007E723C">
        <w:rPr>
          <w:rFonts w:ascii="Georgia" w:hAnsi="Georgia" w:cs="Times New Roman"/>
          <w:sz w:val="24"/>
          <w:szCs w:val="24"/>
        </w:rPr>
        <w:t xml:space="preserve"> </w:t>
      </w:r>
      <w:r w:rsidR="00BB77D4" w:rsidRPr="007E723C">
        <w:rPr>
          <w:rFonts w:ascii="Georgia" w:hAnsi="Georgia" w:cs="Times New Roman"/>
          <w:sz w:val="24"/>
          <w:szCs w:val="24"/>
        </w:rPr>
        <w:fldChar w:fldCharType="begin"/>
      </w:r>
      <w:r w:rsidR="00EF3604" w:rsidRPr="007E723C">
        <w:rPr>
          <w:rFonts w:ascii="Georgia" w:hAnsi="Georgia" w:cs="Times New Roman"/>
          <w:sz w:val="24"/>
          <w:szCs w:val="24"/>
        </w:rPr>
        <w:instrText xml:space="preserve"> ADDIN ZOTERO_ITEM CSL_CITATION {"citationID":"oJMKBvvf","properties":{"formattedCitation":"(European Commission, 2011)","plainCitation":"(European Commission, 2011)","noteIndex":0},"citationItems":[{"id":614,"uris":["http://zotero.org/users/9445126/items/G7PXQ49U"],"itemData":{"id":614,"type":"document","title":"A renewed EU strategy 2011- 14 for Corporate Social Responsibility","author":[{"family":"European Commission","given":""}],"issued":{"date-parts":[["2011"]]}}}],"schema":"https://github.com/citation-style-language/schema/raw/master/csl-citation.json"} </w:instrText>
      </w:r>
      <w:r w:rsidR="00BB77D4" w:rsidRPr="007E723C">
        <w:rPr>
          <w:rFonts w:ascii="Georgia" w:hAnsi="Georgia" w:cs="Times New Roman"/>
          <w:sz w:val="24"/>
          <w:szCs w:val="24"/>
        </w:rPr>
        <w:fldChar w:fldCharType="separate"/>
      </w:r>
      <w:r w:rsidR="00EF3604" w:rsidRPr="007E723C">
        <w:rPr>
          <w:rFonts w:ascii="Georgia" w:hAnsi="Georgia" w:cs="Times New Roman"/>
          <w:sz w:val="24"/>
          <w:szCs w:val="24"/>
        </w:rPr>
        <w:t>(European Commission, 2011)</w:t>
      </w:r>
      <w:r w:rsidR="00BB77D4" w:rsidRPr="007E723C">
        <w:rPr>
          <w:rFonts w:ascii="Georgia" w:hAnsi="Georgia" w:cs="Times New Roman"/>
          <w:sz w:val="24"/>
          <w:szCs w:val="24"/>
        </w:rPr>
        <w:fldChar w:fldCharType="end"/>
      </w:r>
      <w:r w:rsidR="00056948" w:rsidRPr="007E723C">
        <w:rPr>
          <w:rFonts w:ascii="Georgia" w:hAnsi="Georgia" w:cs="Times New Roman"/>
          <w:sz w:val="24"/>
          <w:szCs w:val="24"/>
        </w:rPr>
        <w:t>.</w:t>
      </w:r>
      <w:r w:rsidR="00FE7473" w:rsidRPr="007E723C">
        <w:rPr>
          <w:rFonts w:ascii="Georgia" w:hAnsi="Georgia" w:cs="Times New Roman"/>
          <w:sz w:val="24"/>
          <w:szCs w:val="24"/>
        </w:rPr>
        <w:t xml:space="preserve"> </w:t>
      </w:r>
      <w:r w:rsidR="00283EF1" w:rsidRPr="007E723C">
        <w:rPr>
          <w:rFonts w:ascii="Georgia" w:hAnsi="Georgia" w:cs="Times New Roman"/>
          <w:sz w:val="24"/>
          <w:szCs w:val="24"/>
        </w:rPr>
        <w:t>Sokan használják</w:t>
      </w:r>
      <w:r w:rsidR="00E51C0B" w:rsidRPr="007E723C">
        <w:rPr>
          <w:rFonts w:ascii="Georgia" w:hAnsi="Georgia" w:cs="Times New Roman"/>
          <w:sz w:val="24"/>
          <w:szCs w:val="24"/>
        </w:rPr>
        <w:t xml:space="preserve"> emellett</w:t>
      </w:r>
      <w:r w:rsidR="00283EF1" w:rsidRPr="007E723C">
        <w:rPr>
          <w:rFonts w:ascii="Georgia" w:hAnsi="Georgia" w:cs="Times New Roman"/>
          <w:sz w:val="24"/>
          <w:szCs w:val="24"/>
        </w:rPr>
        <w:t xml:space="preserve"> a Nemzetközi Szabványügyi </w:t>
      </w:r>
      <w:r w:rsidR="00C51D0C" w:rsidRPr="007E723C">
        <w:rPr>
          <w:rFonts w:ascii="Georgia" w:hAnsi="Georgia" w:cs="Times New Roman"/>
          <w:sz w:val="24"/>
          <w:szCs w:val="24"/>
        </w:rPr>
        <w:t>Szervezet, vagyis az</w:t>
      </w:r>
      <w:r w:rsidR="00214549" w:rsidRPr="007E723C">
        <w:rPr>
          <w:rFonts w:ascii="Georgia" w:hAnsi="Georgia" w:cs="Times New Roman"/>
          <w:sz w:val="24"/>
          <w:szCs w:val="24"/>
        </w:rPr>
        <w:t xml:space="preserve"> ISO </w:t>
      </w:r>
      <w:r w:rsidR="00214549" w:rsidRPr="007E723C">
        <w:rPr>
          <w:rFonts w:ascii="Georgia" w:hAnsi="Georgia" w:cs="Times New Roman"/>
          <w:sz w:val="24"/>
          <w:szCs w:val="24"/>
        </w:rPr>
        <w:fldChar w:fldCharType="begin"/>
      </w:r>
      <w:r w:rsidR="00214549" w:rsidRPr="007E723C">
        <w:rPr>
          <w:rFonts w:ascii="Georgia" w:hAnsi="Georgia" w:cs="Times New Roman"/>
          <w:sz w:val="24"/>
          <w:szCs w:val="24"/>
        </w:rPr>
        <w:instrText xml:space="preserve"> ADDIN ZOTERO_ITEM CSL_CITATION {"citationID":"yxb61xBb","properties":{"formattedCitation":"(2010)","plainCitation":"(2010)","noteIndex":0},"citationItems":[{"id":750,"uris":["http://zotero.org/users/9445126/items/2FUDB72A"],"itemData":{"id":750,"type":"document","title":"ISO 26000:2010 Guidance on social responsibility","author":[{"family":"ISO","given":""}],"issued":{"date-parts":[["2010"]]}},"label":"page","suppress-author":true}],"schema":"https://github.com/citation-style-language/schema/raw/master/csl-citation.json"} </w:instrText>
      </w:r>
      <w:r w:rsidR="00214549" w:rsidRPr="007E723C">
        <w:rPr>
          <w:rFonts w:ascii="Georgia" w:hAnsi="Georgia" w:cs="Times New Roman"/>
          <w:sz w:val="24"/>
          <w:szCs w:val="24"/>
        </w:rPr>
        <w:fldChar w:fldCharType="separate"/>
      </w:r>
      <w:r w:rsidR="00214549" w:rsidRPr="007E723C">
        <w:rPr>
          <w:rFonts w:ascii="Georgia" w:hAnsi="Georgia" w:cs="Times New Roman"/>
          <w:sz w:val="24"/>
          <w:szCs w:val="24"/>
        </w:rPr>
        <w:t>(2010)</w:t>
      </w:r>
      <w:r w:rsidR="00214549" w:rsidRPr="007E723C">
        <w:rPr>
          <w:rFonts w:ascii="Georgia" w:hAnsi="Georgia" w:cs="Times New Roman"/>
          <w:sz w:val="24"/>
          <w:szCs w:val="24"/>
        </w:rPr>
        <w:fldChar w:fldCharType="end"/>
      </w:r>
      <w:r w:rsidR="00214549" w:rsidRPr="007E723C">
        <w:rPr>
          <w:rFonts w:ascii="Georgia" w:hAnsi="Georgia" w:cs="Times New Roman"/>
          <w:sz w:val="24"/>
          <w:szCs w:val="24"/>
        </w:rPr>
        <w:t xml:space="preserve"> </w:t>
      </w:r>
      <w:r w:rsidR="00C51D0C" w:rsidRPr="007E723C">
        <w:rPr>
          <w:rFonts w:ascii="Georgia" w:hAnsi="Georgia" w:cs="Times New Roman"/>
          <w:sz w:val="24"/>
          <w:szCs w:val="24"/>
        </w:rPr>
        <w:t>meghatározását is, amely lényegében a</w:t>
      </w:r>
      <w:r w:rsidR="00566742" w:rsidRPr="007E723C">
        <w:rPr>
          <w:rFonts w:ascii="Georgia" w:hAnsi="Georgia" w:cs="Times New Roman"/>
          <w:sz w:val="24"/>
          <w:szCs w:val="24"/>
        </w:rPr>
        <w:t xml:space="preserve"> </w:t>
      </w:r>
      <w:r w:rsidR="00C51D0C" w:rsidRPr="007E723C">
        <w:rPr>
          <w:rFonts w:ascii="Georgia" w:hAnsi="Georgia" w:cs="Times New Roman"/>
          <w:sz w:val="24"/>
          <w:szCs w:val="24"/>
        </w:rPr>
        <w:t xml:space="preserve">fent </w:t>
      </w:r>
      <w:r w:rsidR="00566742" w:rsidRPr="007E723C">
        <w:rPr>
          <w:rFonts w:ascii="Georgia" w:hAnsi="Georgia" w:cs="Times New Roman"/>
          <w:sz w:val="24"/>
          <w:szCs w:val="24"/>
        </w:rPr>
        <w:t>bemutatott carroll</w:t>
      </w:r>
      <w:r w:rsidR="00FB24D9" w:rsidRPr="007E723C">
        <w:rPr>
          <w:rFonts w:ascii="Georgia" w:hAnsi="Georgia" w:cs="Times New Roman"/>
          <w:sz w:val="24"/>
          <w:szCs w:val="24"/>
        </w:rPr>
        <w:t>-</w:t>
      </w:r>
      <w:r w:rsidR="00566742" w:rsidRPr="007E723C">
        <w:rPr>
          <w:rFonts w:ascii="Georgia" w:hAnsi="Georgia" w:cs="Times New Roman"/>
          <w:sz w:val="24"/>
          <w:szCs w:val="24"/>
        </w:rPr>
        <w:t>i multidimenzionális modell egyes szintjeihez kapcsolódó felelősségeket emeli ki, melyek a vállalati működés valamennyi területén, illetve a partneri kapcsolatokban is jelen vannak.</w:t>
      </w:r>
      <w:r w:rsidR="00C51D0C" w:rsidRPr="007E723C">
        <w:rPr>
          <w:rFonts w:ascii="Georgia" w:hAnsi="Georgia" w:cs="Times New Roman"/>
          <w:sz w:val="24"/>
          <w:szCs w:val="24"/>
        </w:rPr>
        <w:t xml:space="preserve"> </w:t>
      </w:r>
    </w:p>
    <w:p w14:paraId="570A7334" w14:textId="71B8939D" w:rsidR="00CC64A5" w:rsidRPr="007E723C" w:rsidRDefault="00CC64A5" w:rsidP="00AF1C6C">
      <w:pPr>
        <w:spacing w:line="360" w:lineRule="auto"/>
        <w:ind w:firstLine="709"/>
        <w:jc w:val="both"/>
        <w:rPr>
          <w:rFonts w:ascii="Georgia" w:hAnsi="Georgia" w:cs="Times New Roman"/>
          <w:sz w:val="24"/>
          <w:szCs w:val="24"/>
        </w:rPr>
      </w:pPr>
      <w:r w:rsidRPr="007E723C">
        <w:rPr>
          <w:rFonts w:ascii="Georgia" w:hAnsi="Georgia" w:cs="Times New Roman"/>
          <w:sz w:val="24"/>
          <w:szCs w:val="24"/>
        </w:rPr>
        <w:t>A hazai szakirodalomba</w:t>
      </w:r>
      <w:r w:rsidR="00ED0037" w:rsidRPr="007E723C">
        <w:rPr>
          <w:rFonts w:ascii="Georgia" w:hAnsi="Georgia" w:cs="Times New Roman"/>
          <w:sz w:val="24"/>
          <w:szCs w:val="24"/>
        </w:rPr>
        <w:t>n</w:t>
      </w:r>
      <w:r w:rsidR="00214549" w:rsidRPr="007E723C">
        <w:rPr>
          <w:rFonts w:ascii="Georgia" w:hAnsi="Georgia" w:cs="Times New Roman"/>
          <w:sz w:val="24"/>
          <w:szCs w:val="24"/>
        </w:rPr>
        <w:t xml:space="preserve"> Putzer </w:t>
      </w:r>
      <w:r w:rsidR="00214549" w:rsidRPr="007E723C">
        <w:rPr>
          <w:rFonts w:ascii="Georgia" w:hAnsi="Georgia" w:cs="Times New Roman"/>
          <w:sz w:val="24"/>
          <w:szCs w:val="24"/>
        </w:rPr>
        <w:fldChar w:fldCharType="begin"/>
      </w:r>
      <w:r w:rsidR="00214549" w:rsidRPr="007E723C">
        <w:rPr>
          <w:rFonts w:ascii="Georgia" w:hAnsi="Georgia" w:cs="Times New Roman"/>
          <w:sz w:val="24"/>
          <w:szCs w:val="24"/>
        </w:rPr>
        <w:instrText xml:space="preserve"> ADDIN ZOTERO_ITEM CSL_CITATION {"citationID":"JDgdO6X6","properties":{"formattedCitation":"(2011)","plainCitation":"(2011)","noteIndex":0},"citationItems":[{"id":751,"uris":["http://zotero.org/users/9445126/items/YIAUQK6V"],"itemData":{"id":751,"type":"article-journal","abstract":"Beside marketing many other disciplines deal with CSR, i.e. corporate social responsibility. The papers about the relation between corporate social performance (CSP) and corporate financial performance (CFP) become more popular in our days. There is also a dispute if this correlation is positive or negative or there is no correlation. This paper investigates with a literature review, how the correlation between CSP and CFP could influence the marketing function in the future. My results indicate that marketing should rise to two challenges. It should manage CSR as communication tool and also as corporate DNA.","container-title":"Marketing &amp; Menedzsment","ISSN":"2786-3395","issue":"4","language":"hu","license":"Copyright (c) 0","note":"number: 4","page":"45-52","source":"journals.lib.pte.hu","title":"CSR - Merre tovább?","volume":"45","author":[{"family":"Putzer","given":"Petra"}],"issued":{"date-parts":[["2011"]]}},"label":"page","suppress-author":true}],"schema":"https://github.com/citation-style-language/schema/raw/master/csl-citation.json"} </w:instrText>
      </w:r>
      <w:r w:rsidR="00214549" w:rsidRPr="007E723C">
        <w:rPr>
          <w:rFonts w:ascii="Georgia" w:hAnsi="Georgia" w:cs="Times New Roman"/>
          <w:sz w:val="24"/>
          <w:szCs w:val="24"/>
        </w:rPr>
        <w:fldChar w:fldCharType="separate"/>
      </w:r>
      <w:r w:rsidR="00214549" w:rsidRPr="007E723C">
        <w:rPr>
          <w:rFonts w:ascii="Georgia" w:hAnsi="Georgia" w:cs="Times New Roman"/>
          <w:sz w:val="24"/>
          <w:szCs w:val="24"/>
        </w:rPr>
        <w:t>(2011)</w:t>
      </w:r>
      <w:r w:rsidR="00214549" w:rsidRPr="007E723C">
        <w:rPr>
          <w:rFonts w:ascii="Georgia" w:hAnsi="Georgia" w:cs="Times New Roman"/>
          <w:sz w:val="24"/>
          <w:szCs w:val="24"/>
        </w:rPr>
        <w:fldChar w:fldCharType="end"/>
      </w:r>
      <w:r w:rsidR="00214549" w:rsidRPr="007E723C">
        <w:rPr>
          <w:rFonts w:ascii="Georgia" w:hAnsi="Georgia" w:cs="Times New Roman"/>
          <w:sz w:val="24"/>
          <w:szCs w:val="24"/>
        </w:rPr>
        <w:t xml:space="preserve"> </w:t>
      </w:r>
      <w:r w:rsidRPr="007E723C">
        <w:rPr>
          <w:rFonts w:ascii="Georgia" w:hAnsi="Georgia" w:cs="Times New Roman"/>
          <w:sz w:val="24"/>
          <w:szCs w:val="24"/>
        </w:rPr>
        <w:t xml:space="preserve">végzett egy tanulmányt a társadalmi felelősségvállalásról, melynek eredményeként </w:t>
      </w:r>
      <w:r w:rsidR="00B850D4" w:rsidRPr="007E723C">
        <w:rPr>
          <w:rFonts w:ascii="Georgia" w:hAnsi="Georgia" w:cs="Times New Roman"/>
          <w:sz w:val="24"/>
          <w:szCs w:val="24"/>
        </w:rPr>
        <w:t xml:space="preserve">egy négyszintű piramisba tömörítette a CSR különböző fokozatait. Az első szinten azok a vállalkozások találhatók, amelyek ugyan követik a jogszabályokat, de nem folytatnak CSR tevékenységet, vagyis Friedman </w:t>
      </w:r>
      <w:r w:rsidR="00B04038" w:rsidRPr="007E723C">
        <w:rPr>
          <w:rFonts w:ascii="Georgia" w:hAnsi="Georgia" w:cs="Times New Roman"/>
          <w:sz w:val="24"/>
          <w:szCs w:val="24"/>
        </w:rPr>
        <w:fldChar w:fldCharType="begin"/>
      </w:r>
      <w:r w:rsidR="00B04038" w:rsidRPr="007E723C">
        <w:rPr>
          <w:rFonts w:ascii="Georgia" w:hAnsi="Georgia" w:cs="Times New Roman"/>
          <w:sz w:val="24"/>
          <w:szCs w:val="24"/>
        </w:rPr>
        <w:instrText xml:space="preserve"> ADDIN ZOTERO_ITEM CSL_CITATION {"citationID":"QnOSlGB1","properties":{"formattedCitation":"(1970)","plainCitation":"(1970)","noteIndex":0},"citationItems":[{"id":610,"uris":["http://zotero.org/users/9445126/items/NJPSBAH8"],"itemData":{"id":610,"type":"article-journal","container-title":"The New York Times Magazine","issue":"1970","page":"32–33","source":"Google Scholar","title":"A Friedman doctrine: The social responsibility of business is to increase its profits","title-short":"A Friedman doctrine","volume":"13","author":[{"family":"Friedman","given":"Milton"}],"issued":{"date-parts":[["1970"]]}},"label":"page","suppress-author":true}],"schema":"https://github.com/citation-style-language/schema/raw/master/csl-citation.json"} </w:instrText>
      </w:r>
      <w:r w:rsidR="00B04038" w:rsidRPr="007E723C">
        <w:rPr>
          <w:rFonts w:ascii="Georgia" w:hAnsi="Georgia" w:cs="Times New Roman"/>
          <w:sz w:val="24"/>
          <w:szCs w:val="24"/>
        </w:rPr>
        <w:fldChar w:fldCharType="separate"/>
      </w:r>
      <w:r w:rsidR="00B04038" w:rsidRPr="007E723C">
        <w:rPr>
          <w:rFonts w:ascii="Georgia" w:hAnsi="Georgia" w:cs="Times New Roman"/>
          <w:sz w:val="24"/>
          <w:szCs w:val="24"/>
        </w:rPr>
        <w:t>(1970)</w:t>
      </w:r>
      <w:r w:rsidR="00B04038" w:rsidRPr="007E723C">
        <w:rPr>
          <w:rFonts w:ascii="Georgia" w:hAnsi="Georgia" w:cs="Times New Roman"/>
          <w:sz w:val="24"/>
          <w:szCs w:val="24"/>
        </w:rPr>
        <w:fldChar w:fldCharType="end"/>
      </w:r>
      <w:r w:rsidR="00B04038" w:rsidRPr="007E723C">
        <w:rPr>
          <w:rFonts w:ascii="Georgia" w:hAnsi="Georgia" w:cs="Times New Roman"/>
          <w:sz w:val="24"/>
          <w:szCs w:val="24"/>
        </w:rPr>
        <w:t xml:space="preserve"> </w:t>
      </w:r>
      <w:r w:rsidR="00B850D4" w:rsidRPr="007E723C">
        <w:rPr>
          <w:rFonts w:ascii="Georgia" w:hAnsi="Georgia" w:cs="Times New Roman"/>
          <w:sz w:val="24"/>
          <w:szCs w:val="24"/>
        </w:rPr>
        <w:t xml:space="preserve">által megfogalmazott </w:t>
      </w:r>
      <w:r w:rsidR="00F3173A" w:rsidRPr="007E723C">
        <w:rPr>
          <w:rFonts w:ascii="Georgia" w:hAnsi="Georgia" w:cs="Times New Roman"/>
          <w:sz w:val="24"/>
          <w:szCs w:val="24"/>
        </w:rPr>
        <w:t xml:space="preserve">elvek </w:t>
      </w:r>
      <w:r w:rsidR="00B850D4" w:rsidRPr="007E723C">
        <w:rPr>
          <w:rFonts w:ascii="Georgia" w:hAnsi="Georgia" w:cs="Times New Roman"/>
          <w:sz w:val="24"/>
          <w:szCs w:val="24"/>
        </w:rPr>
        <w:t xml:space="preserve">szerint működnek. A második szint azoké a vállalatoké, akik a CSR-t, mint egyfajta kommunikációs eszközt használják. Ezek a „kifelé felelős” vállalatok. </w:t>
      </w:r>
      <w:r w:rsidR="00AF1C6C" w:rsidRPr="007E723C">
        <w:rPr>
          <w:rFonts w:ascii="Georgia" w:hAnsi="Georgia" w:cs="Times New Roman"/>
          <w:sz w:val="24"/>
          <w:szCs w:val="24"/>
        </w:rPr>
        <w:t xml:space="preserve">A harmadik szinten lévő vállalatok esetében a CSR már nem csak a működés része, hanem </w:t>
      </w:r>
      <w:r w:rsidR="00B1693F" w:rsidRPr="007E723C">
        <w:rPr>
          <w:rFonts w:ascii="Georgia" w:hAnsi="Georgia" w:cs="Times New Roman"/>
          <w:sz w:val="24"/>
          <w:szCs w:val="24"/>
        </w:rPr>
        <w:t>előfordul</w:t>
      </w:r>
      <w:r w:rsidR="00AF1C6C" w:rsidRPr="007E723C">
        <w:rPr>
          <w:rFonts w:ascii="Georgia" w:hAnsi="Georgia" w:cs="Times New Roman"/>
          <w:sz w:val="24"/>
          <w:szCs w:val="24"/>
        </w:rPr>
        <w:t xml:space="preserve"> más</w:t>
      </w:r>
      <w:r w:rsidR="00B1693F" w:rsidRPr="007E723C">
        <w:rPr>
          <w:rFonts w:ascii="Georgia" w:hAnsi="Georgia" w:cs="Times New Roman"/>
          <w:sz w:val="24"/>
          <w:szCs w:val="24"/>
        </w:rPr>
        <w:t xml:space="preserve"> vállalati</w:t>
      </w:r>
      <w:r w:rsidR="00AF1C6C" w:rsidRPr="007E723C">
        <w:rPr>
          <w:rFonts w:ascii="Georgia" w:hAnsi="Georgia" w:cs="Times New Roman"/>
          <w:sz w:val="24"/>
          <w:szCs w:val="24"/>
        </w:rPr>
        <w:t xml:space="preserve"> területen is, ahol nem</w:t>
      </w:r>
      <w:r w:rsidR="00B1693F" w:rsidRPr="007E723C">
        <w:rPr>
          <w:rFonts w:ascii="Georgia" w:hAnsi="Georgia" w:cs="Times New Roman"/>
          <w:sz w:val="24"/>
          <w:szCs w:val="24"/>
        </w:rPr>
        <w:t xml:space="preserve"> feltétlen</w:t>
      </w:r>
      <w:r w:rsidR="00AF1C6C" w:rsidRPr="007E723C">
        <w:rPr>
          <w:rFonts w:ascii="Georgia" w:hAnsi="Georgia" w:cs="Times New Roman"/>
          <w:sz w:val="24"/>
          <w:szCs w:val="24"/>
        </w:rPr>
        <w:t xml:space="preserve"> a profitszerzés az elsődleges</w:t>
      </w:r>
      <w:r w:rsidR="00B1693F" w:rsidRPr="007E723C">
        <w:rPr>
          <w:rFonts w:ascii="Georgia" w:hAnsi="Georgia" w:cs="Times New Roman"/>
          <w:sz w:val="24"/>
          <w:szCs w:val="24"/>
        </w:rPr>
        <w:t xml:space="preserve"> szempont</w:t>
      </w:r>
      <w:r w:rsidR="00AF1C6C" w:rsidRPr="007E723C">
        <w:rPr>
          <w:rFonts w:ascii="Georgia" w:hAnsi="Georgia" w:cs="Times New Roman"/>
          <w:sz w:val="24"/>
          <w:szCs w:val="24"/>
        </w:rPr>
        <w:t xml:space="preserve"> (pl.: önkéntes tevékenységek). A legfelső szinten a „valóban </w:t>
      </w:r>
      <w:r w:rsidR="00AF1C6C" w:rsidRPr="007E723C">
        <w:rPr>
          <w:rFonts w:ascii="Georgia" w:hAnsi="Georgia" w:cs="Times New Roman"/>
          <w:sz w:val="24"/>
          <w:szCs w:val="24"/>
        </w:rPr>
        <w:lastRenderedPageBreak/>
        <w:t>felelős vállalatok” találhatók, ahol a CSR, mint stratégia</w:t>
      </w:r>
      <w:r w:rsidR="00B1693F" w:rsidRPr="007E723C">
        <w:rPr>
          <w:rFonts w:ascii="Georgia" w:hAnsi="Georgia" w:cs="Times New Roman"/>
          <w:sz w:val="24"/>
          <w:szCs w:val="24"/>
        </w:rPr>
        <w:t>i</w:t>
      </w:r>
      <w:r w:rsidR="00AF1C6C" w:rsidRPr="007E723C">
        <w:rPr>
          <w:rFonts w:ascii="Georgia" w:hAnsi="Georgia" w:cs="Times New Roman"/>
          <w:sz w:val="24"/>
          <w:szCs w:val="24"/>
        </w:rPr>
        <w:t xml:space="preserve"> szemlélet jelenik meg</w:t>
      </w:r>
      <w:r w:rsidR="001A61E2" w:rsidRPr="007E723C">
        <w:rPr>
          <w:rFonts w:ascii="Georgia" w:hAnsi="Georgia" w:cs="Times New Roman"/>
          <w:sz w:val="24"/>
          <w:szCs w:val="24"/>
        </w:rPr>
        <w:t xml:space="preserve"> </w:t>
      </w:r>
      <w:r w:rsidR="001A61E2" w:rsidRPr="007E723C">
        <w:rPr>
          <w:rFonts w:ascii="Georgia" w:hAnsi="Georgia" w:cs="Times New Roman"/>
          <w:sz w:val="24"/>
          <w:szCs w:val="24"/>
        </w:rPr>
        <w:fldChar w:fldCharType="begin"/>
      </w:r>
      <w:r w:rsidR="001A61E2" w:rsidRPr="007E723C">
        <w:rPr>
          <w:rFonts w:ascii="Georgia" w:hAnsi="Georgia" w:cs="Times New Roman"/>
          <w:sz w:val="24"/>
          <w:szCs w:val="24"/>
        </w:rPr>
        <w:instrText xml:space="preserve"> ADDIN ZOTERO_ITEM CSL_CITATION {"citationID":"BieYuHtG","properties":{"formattedCitation":"(Putzer, 2011)","plainCitation":"(Putzer, 2011)","noteIndex":0},"citationItems":[{"id":751,"uris":["http://zotero.org/users/9445126/items/YIAUQK6V"],"itemData":{"id":751,"type":"article-journal","abstract":"Beside marketing many other disciplines deal with CSR, i.e. corporate social responsibility. The papers about the relation between corporate social performance (CSP) and corporate financial performance (CFP) become more popular in our days. There is also a dispute if this correlation is positive or negative or there is no correlation. This paper investigates with a literature review, how the correlation between CSP and CFP could influence the marketing function in the future. My results indicate that marketing should rise to two challenges. It should manage CSR as communication tool and also as corporate DNA.","container-title":"Marketing &amp; Menedzsment","ISSN":"2786-3395","issue":"4","language":"hu","license":"Copyright (c) 0","note":"number: 4","page":"45-52","source":"journals.lib.pte.hu","title":"CSR - Merre tovább?","volume":"45","author":[{"family":"Putzer","given":"Petra"}],"issued":{"date-parts":[["2011"]]}}}],"schema":"https://github.com/citation-style-language/schema/raw/master/csl-citation.json"} </w:instrText>
      </w:r>
      <w:r w:rsidR="001A61E2" w:rsidRPr="007E723C">
        <w:rPr>
          <w:rFonts w:ascii="Georgia" w:hAnsi="Georgia" w:cs="Times New Roman"/>
          <w:sz w:val="24"/>
          <w:szCs w:val="24"/>
        </w:rPr>
        <w:fldChar w:fldCharType="separate"/>
      </w:r>
      <w:r w:rsidR="001A61E2" w:rsidRPr="007E723C">
        <w:rPr>
          <w:rFonts w:ascii="Georgia" w:hAnsi="Georgia" w:cs="Times New Roman"/>
          <w:sz w:val="24"/>
          <w:szCs w:val="24"/>
        </w:rPr>
        <w:t>(Putzer, 2011)</w:t>
      </w:r>
      <w:r w:rsidR="001A61E2" w:rsidRPr="007E723C">
        <w:rPr>
          <w:rFonts w:ascii="Georgia" w:hAnsi="Georgia" w:cs="Times New Roman"/>
          <w:sz w:val="24"/>
          <w:szCs w:val="24"/>
        </w:rPr>
        <w:fldChar w:fldCharType="end"/>
      </w:r>
      <w:r w:rsidR="001A61E2" w:rsidRPr="007E723C">
        <w:rPr>
          <w:rFonts w:ascii="Georgia" w:hAnsi="Georgia" w:cs="Times New Roman"/>
          <w:sz w:val="24"/>
          <w:szCs w:val="24"/>
        </w:rPr>
        <w:t>.</w:t>
      </w:r>
      <w:r w:rsidR="00AF1C6C" w:rsidRPr="007E723C">
        <w:rPr>
          <w:rFonts w:ascii="Georgia" w:hAnsi="Georgia" w:cs="Times New Roman"/>
          <w:sz w:val="24"/>
          <w:szCs w:val="24"/>
        </w:rPr>
        <w:t xml:space="preserve"> </w:t>
      </w:r>
    </w:p>
    <w:p w14:paraId="28BA5F70" w14:textId="20C573B9" w:rsidR="00B850D4" w:rsidRPr="007E723C" w:rsidRDefault="000C2A42" w:rsidP="009475AD">
      <w:pPr>
        <w:spacing w:line="360" w:lineRule="auto"/>
        <w:ind w:firstLine="709"/>
        <w:jc w:val="both"/>
        <w:rPr>
          <w:rFonts w:ascii="Georgia" w:hAnsi="Georgia" w:cs="Times New Roman"/>
          <w:sz w:val="24"/>
          <w:szCs w:val="24"/>
        </w:rPr>
      </w:pPr>
      <w:r w:rsidRPr="007E723C">
        <w:rPr>
          <w:rFonts w:ascii="Georgia" w:hAnsi="Georgia" w:cs="Times New Roman"/>
          <w:sz w:val="24"/>
          <w:szCs w:val="24"/>
        </w:rPr>
        <w:t>Fontos tehát kiemelni, hogy nem mindegy, hogy egy vállalat milyen szintű felelősségvállalás mellett kötelezi el magát, így  a szakirodalom is megkülönbözteti az üzleti célú felelősségvállalást</w:t>
      </w:r>
      <w:r w:rsidR="00FF5D9A" w:rsidRPr="007E723C">
        <w:rPr>
          <w:rFonts w:ascii="Georgia" w:hAnsi="Georgia" w:cs="Times New Roman"/>
          <w:sz w:val="24"/>
          <w:szCs w:val="24"/>
        </w:rPr>
        <w:t xml:space="preserve">, </w:t>
      </w:r>
      <w:r w:rsidR="00026FF0" w:rsidRPr="007E723C">
        <w:rPr>
          <w:rFonts w:ascii="Georgia" w:hAnsi="Georgia" w:cs="Times New Roman"/>
          <w:sz w:val="24"/>
          <w:szCs w:val="24"/>
        </w:rPr>
        <w:t xml:space="preserve">illetve elkülöníti egymástól az értékvezérelt és </w:t>
      </w:r>
      <w:r w:rsidR="000900B4" w:rsidRPr="007E723C">
        <w:rPr>
          <w:rFonts w:ascii="Georgia" w:hAnsi="Georgia" w:cs="Times New Roman"/>
          <w:sz w:val="24"/>
          <w:szCs w:val="24"/>
        </w:rPr>
        <w:t xml:space="preserve">a </w:t>
      </w:r>
      <w:r w:rsidR="00026FF0" w:rsidRPr="007E723C">
        <w:rPr>
          <w:rFonts w:ascii="Georgia" w:hAnsi="Georgia" w:cs="Times New Roman"/>
          <w:sz w:val="24"/>
          <w:szCs w:val="24"/>
        </w:rPr>
        <w:t>felelős vállalatokat</w:t>
      </w:r>
      <w:r w:rsidR="00213CE8" w:rsidRPr="007E723C">
        <w:rPr>
          <w:rFonts w:ascii="Georgia" w:hAnsi="Georgia" w:cs="Times New Roman"/>
          <w:sz w:val="24"/>
          <w:szCs w:val="24"/>
        </w:rPr>
        <w:t xml:space="preserve"> </w:t>
      </w:r>
      <w:r w:rsidR="00213CE8" w:rsidRPr="007E723C">
        <w:rPr>
          <w:rFonts w:ascii="Georgia" w:hAnsi="Georgia" w:cs="Times New Roman"/>
          <w:sz w:val="24"/>
          <w:szCs w:val="24"/>
        </w:rPr>
        <w:fldChar w:fldCharType="begin"/>
      </w:r>
      <w:r w:rsidR="00213CE8" w:rsidRPr="007E723C">
        <w:rPr>
          <w:rFonts w:ascii="Georgia" w:hAnsi="Georgia" w:cs="Times New Roman"/>
          <w:sz w:val="24"/>
          <w:szCs w:val="24"/>
        </w:rPr>
        <w:instrText xml:space="preserve"> ADDIN ZOTERO_ITEM CSL_CITATION {"citationID":"cuSeQRO0","properties":{"formattedCitation":"(Lentner \\uc0\\u233{}s mtsai., 2015)","plainCitation":"(Lentner és mtsai., 2015)","noteIndex":0},"citationItems":[{"id":617,"uris":["http://zotero.org/users/9445126/items/UV7CZASN"],"itemData":{"id":617,"type":"article-journal","abstract":"A szerzők tanulmányukban bemutatják a vállalati gyakorlatból ismert vállalati társadalmi felelősségvállalás\n(CSR) koncepció lehetséges központi banki értelmezését, kitérve a központi bankok gazdasági, jogi, etikai és filantróp (jótékonysági) felelősségére. Megközelítésüket az amerikai (FED), az európai (EKB) és a magyar (MNB) központi bank gyakorlatán keresztül mutatják be. Dolgozatuk alapgondolata, hogy egy valóban felelős intézmény minden rendelkezésére álló eszközzel a társadalmi jólétet segíti elő, ahogy a társadalom tagjai vonatkozásában Adam Smith megfogalmazta bő kétszáz évvel ezelőtt. ____ This paper studies a possible interpretation of Corporate Social Responsibility (CSR) known from business translated to the sphere of central banks, including the central banks’ economic, legal, ethical, and philanthropic (charity) responsibilities. The authors’ approach is presented through practices of the American (FED), the European (ECB), and the Hungarian (MNB) Central Banks. The main idea in this paper is that a responsible organisation uses all means possible to improve social wealth, as stated by Adam Smith in relevance to the members of the society over two hundred years ago.","container-title":"Vezetéstudomány - Budapest Management Review","DOI":"10.14267/VEZTUD.2015.09.04","ISSN":"0133-0179","issue":"9-10","language":"hu","note":"number: 9-10\npublisher: Corvinus University of Budapest, School of Management","page":"35-47","source":"unipub.lib.uni-corvinus.hu","title":"A központi bankok társadalmi felelőssége (Social responsibility of central banks)","volume":"46","author":[{"family":"Lentner","given":"Csaba"},{"family":"Szegedi","given":"Krisztina"},{"family":"Tatay","given":"Tibor"}],"issued":{"date-parts":[["2015"]]}}}],"schema":"https://github.com/citation-style-language/schema/raw/master/csl-citation.json"} </w:instrText>
      </w:r>
      <w:r w:rsidR="00213CE8" w:rsidRPr="007E723C">
        <w:rPr>
          <w:rFonts w:ascii="Georgia" w:hAnsi="Georgia" w:cs="Times New Roman"/>
          <w:sz w:val="24"/>
          <w:szCs w:val="24"/>
        </w:rPr>
        <w:fldChar w:fldCharType="separate"/>
      </w:r>
      <w:r w:rsidR="00213CE8" w:rsidRPr="007E723C">
        <w:rPr>
          <w:rFonts w:ascii="Georgia" w:hAnsi="Georgia" w:cs="Times New Roman"/>
          <w:sz w:val="24"/>
          <w:szCs w:val="24"/>
        </w:rPr>
        <w:t>(Lentner és mtsai., 2015)</w:t>
      </w:r>
      <w:r w:rsidR="00213CE8" w:rsidRPr="007E723C">
        <w:rPr>
          <w:rFonts w:ascii="Georgia" w:hAnsi="Georgia" w:cs="Times New Roman"/>
          <w:sz w:val="24"/>
          <w:szCs w:val="24"/>
        </w:rPr>
        <w:fldChar w:fldCharType="end"/>
      </w:r>
      <w:r w:rsidR="00026FF0" w:rsidRPr="007E723C">
        <w:rPr>
          <w:rFonts w:ascii="Georgia" w:hAnsi="Georgia" w:cs="Times New Roman"/>
          <w:sz w:val="24"/>
          <w:szCs w:val="24"/>
        </w:rPr>
        <w:t xml:space="preserve">. </w:t>
      </w:r>
      <w:r w:rsidR="00FF5D9A" w:rsidRPr="007E723C">
        <w:rPr>
          <w:rFonts w:ascii="Georgia" w:hAnsi="Georgia" w:cs="Times New Roman"/>
          <w:sz w:val="24"/>
          <w:szCs w:val="24"/>
        </w:rPr>
        <w:t xml:space="preserve"> </w:t>
      </w:r>
      <w:r w:rsidR="00AF1C6C" w:rsidRPr="007E723C">
        <w:rPr>
          <w:rFonts w:ascii="Georgia" w:hAnsi="Georgia" w:cs="Times New Roman"/>
          <w:sz w:val="24"/>
          <w:szCs w:val="24"/>
        </w:rPr>
        <w:t>A valóságban azonban a vállalatok nehezen jutnak felfelé a fent említett szinteken</w:t>
      </w:r>
      <w:r w:rsidR="000900B4" w:rsidRPr="007E723C">
        <w:rPr>
          <w:rFonts w:ascii="Georgia" w:hAnsi="Georgia" w:cs="Times New Roman"/>
          <w:sz w:val="24"/>
          <w:szCs w:val="24"/>
        </w:rPr>
        <w:t>,</w:t>
      </w:r>
      <w:r w:rsidR="00213CE8" w:rsidRPr="007E723C">
        <w:rPr>
          <w:rFonts w:ascii="Georgia" w:hAnsi="Georgia" w:cs="Times New Roman"/>
          <w:sz w:val="24"/>
          <w:szCs w:val="24"/>
        </w:rPr>
        <w:t xml:space="preserve"> és </w:t>
      </w:r>
      <w:r w:rsidR="00AF1C6C" w:rsidRPr="007E723C">
        <w:rPr>
          <w:rFonts w:ascii="Georgia" w:hAnsi="Georgia" w:cs="Times New Roman"/>
          <w:sz w:val="24"/>
          <w:szCs w:val="24"/>
        </w:rPr>
        <w:t>nehézkes számukra</w:t>
      </w:r>
      <w:r w:rsidR="00213CE8" w:rsidRPr="007E723C">
        <w:rPr>
          <w:rFonts w:ascii="Georgia" w:hAnsi="Georgia" w:cs="Times New Roman"/>
          <w:sz w:val="24"/>
          <w:szCs w:val="24"/>
        </w:rPr>
        <w:t xml:space="preserve"> az is</w:t>
      </w:r>
      <w:r w:rsidR="00AF1C6C" w:rsidRPr="007E723C">
        <w:rPr>
          <w:rFonts w:ascii="Georgia" w:hAnsi="Georgia" w:cs="Times New Roman"/>
          <w:sz w:val="24"/>
          <w:szCs w:val="24"/>
        </w:rPr>
        <w:t xml:space="preserve">, hogy a társadalmi felelősségvállalást integrálni tudják az üzleti tevékenységükbe. </w:t>
      </w:r>
      <w:r w:rsidR="00213CE8" w:rsidRPr="007E723C">
        <w:rPr>
          <w:rFonts w:ascii="Georgia" w:hAnsi="Georgia" w:cs="Times New Roman"/>
          <w:sz w:val="24"/>
          <w:szCs w:val="24"/>
        </w:rPr>
        <w:t xml:space="preserve">Pedig a CSR sokkal többről szól, mint </w:t>
      </w:r>
      <w:r w:rsidR="009475AD" w:rsidRPr="007E723C">
        <w:rPr>
          <w:rFonts w:ascii="Georgia" w:hAnsi="Georgia" w:cs="Times New Roman"/>
          <w:sz w:val="24"/>
          <w:szCs w:val="24"/>
        </w:rPr>
        <w:t>egy egyszerű</w:t>
      </w:r>
      <w:r w:rsidR="00213CE8" w:rsidRPr="007E723C">
        <w:rPr>
          <w:rFonts w:ascii="Georgia" w:hAnsi="Georgia" w:cs="Times New Roman"/>
          <w:sz w:val="24"/>
          <w:szCs w:val="24"/>
        </w:rPr>
        <w:t xml:space="preserve"> marketing és kommunikációs eszköz</w:t>
      </w:r>
      <w:r w:rsidR="009475AD" w:rsidRPr="007E723C">
        <w:rPr>
          <w:rFonts w:ascii="Georgia" w:hAnsi="Georgia" w:cs="Times New Roman"/>
          <w:sz w:val="24"/>
          <w:szCs w:val="24"/>
        </w:rPr>
        <w:t>, ezért kiemelten fontos, hogy a vállalatok a társadalmi felelősségvállalás kérdéskörét ne egy különálló tevékenységként, hanem az alapvető működés</w:t>
      </w:r>
      <w:r w:rsidR="00E51C0B" w:rsidRPr="007E723C">
        <w:rPr>
          <w:rFonts w:ascii="Georgia" w:hAnsi="Georgia" w:cs="Times New Roman"/>
          <w:sz w:val="24"/>
          <w:szCs w:val="24"/>
        </w:rPr>
        <w:t>be</w:t>
      </w:r>
      <w:r w:rsidR="009475AD" w:rsidRPr="007E723C">
        <w:rPr>
          <w:rFonts w:ascii="Georgia" w:hAnsi="Georgia" w:cs="Times New Roman"/>
          <w:sz w:val="24"/>
          <w:szCs w:val="24"/>
        </w:rPr>
        <w:t xml:space="preserve"> és stratégiába integráltan értelmezzék </w:t>
      </w:r>
      <w:r w:rsidR="009475AD" w:rsidRPr="007E723C">
        <w:rPr>
          <w:rFonts w:ascii="Georgia" w:hAnsi="Georgia" w:cs="Times New Roman"/>
          <w:sz w:val="24"/>
          <w:szCs w:val="24"/>
        </w:rPr>
        <w:fldChar w:fldCharType="begin"/>
      </w:r>
      <w:r w:rsidR="009475AD" w:rsidRPr="007E723C">
        <w:rPr>
          <w:rFonts w:ascii="Georgia" w:hAnsi="Georgia" w:cs="Times New Roman"/>
          <w:sz w:val="24"/>
          <w:szCs w:val="24"/>
        </w:rPr>
        <w:instrText xml:space="preserve"> ADDIN ZOTERO_ITEM CSL_CITATION {"citationID":"aur6NpYa","properties":{"formattedCitation":"(Szegedi, 2014)","plainCitation":"(Szegedi, 2014)","noteIndex":0},"citationItems":[{"id":620,"uris":["http://zotero.org/users/9445126/items/HFQ4EZQY"],"itemData":{"id":620,"type":"article-journal","container-title":"2014): Management Challenges in the 21st Century. LAP LAMBERT Academic Publishing","source":"Google Scholar","title":"Possibilities of corporate social responsibility","author":[{"family":"Szegedi","given":"K."}],"issued":{"date-parts":[["2014"]]}}}],"schema":"https://github.com/citation-style-language/schema/raw/master/csl-citation.json"} </w:instrText>
      </w:r>
      <w:r w:rsidR="009475AD" w:rsidRPr="007E723C">
        <w:rPr>
          <w:rFonts w:ascii="Georgia" w:hAnsi="Georgia" w:cs="Times New Roman"/>
          <w:sz w:val="24"/>
          <w:szCs w:val="24"/>
        </w:rPr>
        <w:fldChar w:fldCharType="separate"/>
      </w:r>
      <w:r w:rsidR="009475AD" w:rsidRPr="007E723C">
        <w:rPr>
          <w:rFonts w:ascii="Georgia" w:hAnsi="Georgia" w:cs="Times New Roman"/>
          <w:sz w:val="24"/>
          <w:szCs w:val="24"/>
        </w:rPr>
        <w:t>(Szegedi, 2014)</w:t>
      </w:r>
      <w:r w:rsidR="009475AD" w:rsidRPr="007E723C">
        <w:rPr>
          <w:rFonts w:ascii="Georgia" w:hAnsi="Georgia" w:cs="Times New Roman"/>
          <w:sz w:val="24"/>
          <w:szCs w:val="24"/>
        </w:rPr>
        <w:fldChar w:fldCharType="end"/>
      </w:r>
      <w:r w:rsidR="009475AD" w:rsidRPr="007E723C">
        <w:rPr>
          <w:rFonts w:ascii="Georgia" w:hAnsi="Georgia" w:cs="Times New Roman"/>
          <w:sz w:val="24"/>
          <w:szCs w:val="24"/>
        </w:rPr>
        <w:t>.</w:t>
      </w:r>
    </w:p>
    <w:p w14:paraId="6B53BFD7" w14:textId="2DEDFCA3" w:rsidR="00870813" w:rsidRPr="007E723C" w:rsidRDefault="001832BD" w:rsidP="00FF7AC9">
      <w:pPr>
        <w:pStyle w:val="Cmsor3"/>
        <w:numPr>
          <w:ilvl w:val="2"/>
          <w:numId w:val="3"/>
        </w:numPr>
        <w:spacing w:after="160"/>
        <w:ind w:left="1701"/>
        <w:rPr>
          <w:rFonts w:ascii="Georgia" w:hAnsi="Georgia" w:cs="Times New Roman"/>
          <w:b/>
          <w:bCs/>
          <w:color w:val="auto"/>
        </w:rPr>
      </w:pPr>
      <w:bookmarkStart w:id="8" w:name="_Toc119421167"/>
      <w:r w:rsidRPr="007E723C">
        <w:rPr>
          <w:rFonts w:ascii="Georgia" w:hAnsi="Georgia" w:cs="Times New Roman"/>
          <w:b/>
          <w:bCs/>
          <w:color w:val="auto"/>
        </w:rPr>
        <w:t>Fenntarthatóság a számvitelben</w:t>
      </w:r>
      <w:bookmarkEnd w:id="8"/>
    </w:p>
    <w:p w14:paraId="30DF5AB9" w14:textId="4FDE4F4A" w:rsidR="00870813" w:rsidRPr="007E723C" w:rsidRDefault="00E252EE" w:rsidP="00B1693F">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fent leírtakból is jól látszik, hogy a vállalati fenntarthatósághoz kapcsolódó követelmények már a vállalati stratégiában is megjelennek, hiszen a társaságok az üzleti célok mellett már a társadalmat, illetve a környezet védelmét szolgáló célokat is megfogalmaznak a stratégiai tervezés során. Több kutatás azonban arra jutott, hogy a kitűzött fenntarthatósági célok teljesítése sok esetben elmarad az elvártaktól, </w:t>
      </w:r>
      <w:r w:rsidR="005110A5" w:rsidRPr="007E723C">
        <w:rPr>
          <w:rFonts w:ascii="Georgia" w:hAnsi="Georgia" w:cs="Times New Roman"/>
          <w:sz w:val="24"/>
          <w:szCs w:val="24"/>
        </w:rPr>
        <w:t>hiszen</w:t>
      </w:r>
      <w:r w:rsidRPr="007E723C">
        <w:rPr>
          <w:rFonts w:ascii="Georgia" w:hAnsi="Georgia" w:cs="Times New Roman"/>
          <w:sz w:val="24"/>
          <w:szCs w:val="24"/>
        </w:rPr>
        <w:t xml:space="preserve"> e</w:t>
      </w:r>
      <w:r w:rsidR="00870813" w:rsidRPr="007E723C">
        <w:rPr>
          <w:rFonts w:ascii="Georgia" w:hAnsi="Georgia" w:cs="Times New Roman"/>
          <w:sz w:val="24"/>
          <w:szCs w:val="24"/>
        </w:rPr>
        <w:t>gy jól kidolgozott stratégia mit sem ér, ha a vállalat nem képes azt megvalósítani</w:t>
      </w:r>
      <w:r w:rsidR="003777BA" w:rsidRPr="007E723C">
        <w:rPr>
          <w:rFonts w:ascii="Georgia" w:hAnsi="Georgia" w:cs="Times New Roman"/>
          <w:sz w:val="24"/>
          <w:szCs w:val="24"/>
        </w:rPr>
        <w:t xml:space="preserve">. A </w:t>
      </w:r>
      <w:r w:rsidRPr="007E723C">
        <w:rPr>
          <w:rFonts w:ascii="Georgia" w:hAnsi="Georgia" w:cs="Times New Roman"/>
          <w:sz w:val="24"/>
          <w:szCs w:val="24"/>
        </w:rPr>
        <w:t xml:space="preserve">várt eredmények elmaradásának az oka tehát a </w:t>
      </w:r>
      <w:r w:rsidR="003777BA" w:rsidRPr="007E723C">
        <w:rPr>
          <w:rFonts w:ascii="Georgia" w:hAnsi="Georgia" w:cs="Times New Roman"/>
          <w:sz w:val="24"/>
          <w:szCs w:val="24"/>
        </w:rPr>
        <w:t>megvalósítás</w:t>
      </w:r>
      <w:r w:rsidR="009C2910" w:rsidRPr="007E723C">
        <w:rPr>
          <w:rFonts w:ascii="Georgia" w:hAnsi="Georgia" w:cs="Times New Roman"/>
          <w:sz w:val="24"/>
          <w:szCs w:val="24"/>
        </w:rPr>
        <w:t>ban keresendő, amihez</w:t>
      </w:r>
      <w:r w:rsidR="00870813" w:rsidRPr="007E723C">
        <w:rPr>
          <w:rFonts w:ascii="Georgia" w:hAnsi="Georgia" w:cs="Times New Roman"/>
          <w:sz w:val="24"/>
          <w:szCs w:val="24"/>
        </w:rPr>
        <w:t xml:space="preserve"> szükség van a teljesítmény </w:t>
      </w:r>
      <w:r w:rsidR="003777BA" w:rsidRPr="007E723C">
        <w:rPr>
          <w:rFonts w:ascii="Georgia" w:hAnsi="Georgia" w:cs="Times New Roman"/>
          <w:sz w:val="24"/>
          <w:szCs w:val="24"/>
        </w:rPr>
        <w:t xml:space="preserve">folyamatos </w:t>
      </w:r>
      <w:r w:rsidR="00870813" w:rsidRPr="007E723C">
        <w:rPr>
          <w:rFonts w:ascii="Georgia" w:hAnsi="Georgia" w:cs="Times New Roman"/>
          <w:sz w:val="24"/>
          <w:szCs w:val="24"/>
        </w:rPr>
        <w:t>ellenőrzésére, értékelésére és</w:t>
      </w:r>
      <w:r w:rsidR="003777BA" w:rsidRPr="007E723C">
        <w:rPr>
          <w:rFonts w:ascii="Georgia" w:hAnsi="Georgia" w:cs="Times New Roman"/>
          <w:sz w:val="24"/>
          <w:szCs w:val="24"/>
        </w:rPr>
        <w:t xml:space="preserve"> </w:t>
      </w:r>
      <w:r w:rsidR="009C2910" w:rsidRPr="007E723C">
        <w:rPr>
          <w:rFonts w:ascii="Georgia" w:hAnsi="Georgia" w:cs="Times New Roman"/>
          <w:sz w:val="24"/>
          <w:szCs w:val="24"/>
        </w:rPr>
        <w:t xml:space="preserve">a </w:t>
      </w:r>
      <w:r w:rsidR="00870813" w:rsidRPr="007E723C">
        <w:rPr>
          <w:rFonts w:ascii="Georgia" w:hAnsi="Georgia" w:cs="Times New Roman"/>
          <w:sz w:val="24"/>
          <w:szCs w:val="24"/>
        </w:rPr>
        <w:t>visszacsatolásra</w:t>
      </w:r>
      <w:r w:rsidR="009C2910" w:rsidRPr="007E723C">
        <w:rPr>
          <w:rFonts w:ascii="Georgia" w:hAnsi="Georgia" w:cs="Times New Roman"/>
          <w:sz w:val="24"/>
          <w:szCs w:val="24"/>
        </w:rPr>
        <w:t xml:space="preserve"> is</w:t>
      </w:r>
      <w:r w:rsidR="00870813" w:rsidRPr="007E723C">
        <w:rPr>
          <w:rFonts w:ascii="Georgia" w:hAnsi="Georgia" w:cs="Times New Roman"/>
          <w:sz w:val="24"/>
          <w:szCs w:val="24"/>
        </w:rPr>
        <w:t xml:space="preserve">. Ehhez </w:t>
      </w:r>
      <w:r w:rsidR="009C2910" w:rsidRPr="007E723C">
        <w:rPr>
          <w:rFonts w:ascii="Georgia" w:hAnsi="Georgia" w:cs="Times New Roman"/>
          <w:sz w:val="24"/>
          <w:szCs w:val="24"/>
        </w:rPr>
        <w:t xml:space="preserve">pedig </w:t>
      </w:r>
      <w:r w:rsidR="00870813" w:rsidRPr="007E723C">
        <w:rPr>
          <w:rFonts w:ascii="Georgia" w:hAnsi="Georgia" w:cs="Times New Roman"/>
          <w:sz w:val="24"/>
          <w:szCs w:val="24"/>
        </w:rPr>
        <w:t>megfelelő számviteli információs rendszert kell kiépíteni</w:t>
      </w:r>
      <w:r w:rsidR="00CF4B3D" w:rsidRPr="007E723C">
        <w:rPr>
          <w:rFonts w:ascii="Georgia" w:hAnsi="Georgia" w:cs="Times New Roman"/>
          <w:sz w:val="24"/>
          <w:szCs w:val="24"/>
        </w:rPr>
        <w:t xml:space="preserve"> </w:t>
      </w:r>
      <w:r w:rsidR="00CF4B3D" w:rsidRPr="007E723C">
        <w:rPr>
          <w:rFonts w:ascii="Georgia" w:hAnsi="Georgia" w:cs="Times New Roman"/>
          <w:sz w:val="24"/>
          <w:szCs w:val="24"/>
        </w:rPr>
        <w:fldChar w:fldCharType="begin"/>
      </w:r>
      <w:r w:rsidR="00CF4B3D" w:rsidRPr="007E723C">
        <w:rPr>
          <w:rFonts w:ascii="Georgia" w:hAnsi="Georgia" w:cs="Times New Roman"/>
          <w:sz w:val="24"/>
          <w:szCs w:val="24"/>
        </w:rPr>
        <w:instrText xml:space="preserve"> ADDIN ZOTERO_ITEM CSL_CITATION {"citationID":"IE6MHybr","properties":{"formattedCitation":"(F\\uc0\\u252{}l\\uc0\\u246{}p &amp; H\\uc0\\u243{}di Hern\\uc0\\u225{}di, 2014)","plainCitation":"(Fülöp &amp; Hódi Hernádi, 2014)","noteIndex":0},"citationItems":[{"id":560,"uris":["http://zotero.org/users/9445126/items/ZZ8PSGCK"],"itemData":{"id":560,"type":"article-journal","abstract":"Az utóbbi évtizedben a fenntarthatóság követelményei számos vállalat stratégiájában megjelentek. A gazdasági célok mellett meghatározzák a követendő társadalmi és környezeti szempontokat is. Ugyanakkor számos empirikus vizsgálat azt mutatja, hogy a társadalmi és környezeti teljesítményük csak lassan javul. Ezért megfelelő gazdálkodási módszerek és eszközök alkalmazására van szükség a vállalaton belüli stratégiai döntések és tevékenységek gazdasági, társadalmi és természeti környezeti hatásainak a mérésére. Ennek a tanulmánynak a célja a fenntarthatósági stratégia és a fenntarthatósági számvitel mint kulcsfontosságú sikertényező interakciójának a vizsgálata. A cikk a fenntarthatósági stratégiai menedzsment folyamatából indul ki. Ezután ismerteti a stratégiai teljesítményértékelés új megközelítéseit a hagyományos számvitellel kezdve, a környezeti számvitelen át, a fenntarthatósági számvitelig. Ehhez szorosan kapcsolódik egy vállalati esettanulmány, amely a fenntarthatósági számvitel szerepét és hozzájárulását értékeli a fenntarthatósági stratégia sikeres bevezetése során.","container-title":"Vezetéstudomány / Budapest Management Review","DOI":"10.14267/VEZTUD.2014.04.01","ISSN":"01330179","journalAbbreviation":"Veztud","language":"hu","page":"2-17","source":"DOI.org (Crossref)","title":"A vállalati fenntarthatósági stratégia sikertényezője a fenntarthatósági számvitel","author":[{"family":"Fülöp","given":"Gyula"},{"family":"Hódi Hernádi","given":"Bettina"}],"issued":{"date-parts":[["2014",4]]}}}],"schema":"https://github.com/citation-style-language/schema/raw/master/csl-citation.json"} </w:instrText>
      </w:r>
      <w:r w:rsidR="00CF4B3D" w:rsidRPr="007E723C">
        <w:rPr>
          <w:rFonts w:ascii="Georgia" w:hAnsi="Georgia" w:cs="Times New Roman"/>
          <w:sz w:val="24"/>
          <w:szCs w:val="24"/>
        </w:rPr>
        <w:fldChar w:fldCharType="separate"/>
      </w:r>
      <w:r w:rsidR="00CF4B3D" w:rsidRPr="007E723C">
        <w:rPr>
          <w:rFonts w:ascii="Georgia" w:hAnsi="Georgia" w:cs="Times New Roman"/>
          <w:sz w:val="24"/>
          <w:szCs w:val="24"/>
        </w:rPr>
        <w:t>(Fülöp &amp; Hódi Hernádi, 2014)</w:t>
      </w:r>
      <w:r w:rsidR="00CF4B3D" w:rsidRPr="007E723C">
        <w:rPr>
          <w:rFonts w:ascii="Georgia" w:hAnsi="Georgia" w:cs="Times New Roman"/>
          <w:sz w:val="24"/>
          <w:szCs w:val="24"/>
        </w:rPr>
        <w:fldChar w:fldCharType="end"/>
      </w:r>
      <w:r w:rsidR="00870813" w:rsidRPr="007E723C">
        <w:rPr>
          <w:rFonts w:ascii="Georgia" w:hAnsi="Georgia" w:cs="Times New Roman"/>
          <w:sz w:val="24"/>
          <w:szCs w:val="24"/>
        </w:rPr>
        <w:t>.</w:t>
      </w:r>
    </w:p>
    <w:p w14:paraId="6CA38241" w14:textId="61DD315D" w:rsidR="00B54D10" w:rsidRPr="007E723C" w:rsidRDefault="00870813" w:rsidP="00F23E27">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hagyományos számvitel</w:t>
      </w:r>
      <w:r w:rsidR="00B54D10" w:rsidRPr="007E723C">
        <w:rPr>
          <w:rFonts w:ascii="Georgia" w:hAnsi="Georgia" w:cs="Times New Roman"/>
          <w:sz w:val="24"/>
          <w:szCs w:val="24"/>
        </w:rPr>
        <w:t>i rendszer feladata alapvetően, hogy gyűjtse, mérje, rendszerezze és bemutassa azokat a gazdasági eseményeket, illetve azok hatásait, amelyek érintik az adott társaság vagyoni, pénzügyi és jövedelemi helyzetét és ezáltal</w:t>
      </w:r>
      <w:r w:rsidRPr="007E723C">
        <w:rPr>
          <w:rFonts w:ascii="Georgia" w:hAnsi="Georgia" w:cs="Times New Roman"/>
          <w:sz w:val="24"/>
          <w:szCs w:val="24"/>
        </w:rPr>
        <w:t xml:space="preserve"> olyan megbízható és valós információt szolgáltasson az érintettek számára, amelyek segítik őket döntéseik meghozatalában. A fenntarthatóság térnyerésével azonban újra kell értelmezni </w:t>
      </w:r>
      <w:r w:rsidR="00B54D10" w:rsidRPr="007E723C">
        <w:rPr>
          <w:rFonts w:ascii="Georgia" w:hAnsi="Georgia" w:cs="Times New Roman"/>
          <w:sz w:val="24"/>
          <w:szCs w:val="24"/>
        </w:rPr>
        <w:t>a hagyomány</w:t>
      </w:r>
      <w:r w:rsidR="0064643A" w:rsidRPr="007E723C">
        <w:rPr>
          <w:rFonts w:ascii="Georgia" w:hAnsi="Georgia" w:cs="Times New Roman"/>
          <w:sz w:val="24"/>
          <w:szCs w:val="24"/>
        </w:rPr>
        <w:t>os</w:t>
      </w:r>
      <w:r w:rsidR="00B54D10" w:rsidRPr="007E723C">
        <w:rPr>
          <w:rFonts w:ascii="Georgia" w:hAnsi="Georgia" w:cs="Times New Roman"/>
          <w:sz w:val="24"/>
          <w:szCs w:val="24"/>
        </w:rPr>
        <w:t xml:space="preserve"> számviteli rendszerek alapjául szolgáló valamennyi</w:t>
      </w:r>
      <w:r w:rsidRPr="007E723C">
        <w:rPr>
          <w:rFonts w:ascii="Georgia" w:hAnsi="Georgia" w:cs="Times New Roman"/>
          <w:sz w:val="24"/>
          <w:szCs w:val="24"/>
        </w:rPr>
        <w:t xml:space="preserve"> számviteli alapelvet</w:t>
      </w:r>
      <w:r w:rsidR="005110A5" w:rsidRPr="007E723C">
        <w:rPr>
          <w:rFonts w:ascii="Georgia" w:hAnsi="Georgia" w:cs="Times New Roman"/>
          <w:sz w:val="24"/>
          <w:szCs w:val="24"/>
        </w:rPr>
        <w:t xml:space="preserve">, </w:t>
      </w:r>
      <w:r w:rsidR="0064643A" w:rsidRPr="007E723C">
        <w:rPr>
          <w:rFonts w:ascii="Georgia" w:hAnsi="Georgia" w:cs="Times New Roman"/>
          <w:sz w:val="24"/>
          <w:szCs w:val="24"/>
        </w:rPr>
        <w:t xml:space="preserve">az érintettek körét, illetve </w:t>
      </w:r>
      <w:r w:rsidR="00931D99" w:rsidRPr="007E723C">
        <w:rPr>
          <w:rFonts w:ascii="Georgia" w:hAnsi="Georgia" w:cs="Times New Roman"/>
          <w:sz w:val="24"/>
          <w:szCs w:val="24"/>
        </w:rPr>
        <w:t>hangsúlyt kell helyezni a környezeti számvitel sajátosságaira is</w:t>
      </w:r>
      <w:r w:rsidR="0064643A" w:rsidRPr="007E723C">
        <w:rPr>
          <w:rFonts w:ascii="Georgia" w:hAnsi="Georgia" w:cs="Times New Roman"/>
          <w:sz w:val="24"/>
          <w:szCs w:val="24"/>
        </w:rPr>
        <w:t xml:space="preserve"> </w:t>
      </w:r>
      <w:r w:rsidR="0064643A" w:rsidRPr="007E723C">
        <w:rPr>
          <w:rFonts w:ascii="Georgia" w:hAnsi="Georgia" w:cs="Times New Roman"/>
          <w:sz w:val="24"/>
          <w:szCs w:val="24"/>
        </w:rPr>
        <w:fldChar w:fldCharType="begin"/>
      </w:r>
      <w:r w:rsidR="0064643A" w:rsidRPr="007E723C">
        <w:rPr>
          <w:rFonts w:ascii="Georgia" w:hAnsi="Georgia" w:cs="Times New Roman"/>
          <w:sz w:val="24"/>
          <w:szCs w:val="24"/>
        </w:rPr>
        <w:instrText xml:space="preserve"> ADDIN ZOTERO_ITEM CSL_CITATION {"citationID":"zmUEfWEC","properties":{"formattedCitation":"(F\\uc0\\u252{}l\\uc0\\u246{}p &amp; H\\uc0\\u243{}di Hern\\uc0\\u225{}di, 2014)","plainCitation":"(Fülöp &amp; Hódi Hernádi, 2014)","noteIndex":0},"citationItems":[{"id":560,"uris":["http://zotero.org/users/9445126/items/ZZ8PSGCK"],"itemData":{"id":560,"type":"article-journal","abstract":"Az utóbbi évtizedben a fenntarthatóság követelményei számos vállalat stratégiájában megjelentek. A gazdasági célok mellett meghatározzák a követendő társadalmi és környezeti szempontokat is. Ugyanakkor számos empirikus vizsgálat azt mutatja, hogy a társadalmi és környezeti teljesítményük csak lassan javul. Ezért megfelelő gazdálkodási módszerek és eszközök alkalmazására van szükség a vállalaton belüli stratégiai döntések és tevékenységek gazdasági, társadalmi és természeti környezeti hatásainak a mérésére. Ennek a tanulmánynak a célja a fenntarthatósági stratégia és a fenntarthatósági számvitel mint kulcsfontosságú sikertényező interakciójának a vizsgálata. A cikk a fenntarthatósági stratégiai menedzsment folyamatából indul ki. Ezután ismerteti a stratégiai teljesítményértékelés új megközelítéseit a hagyományos számvitellel kezdve, a környezeti számvitelen át, a fenntarthatósági számvitelig. Ehhez szorosan kapcsolódik egy vállalati esettanulmány, amely a fenntarthatósági számvitel szerepét és hozzájárulását értékeli a fenntarthatósági stratégia sikeres bevezetése során.","container-title":"Vezetéstudomány / Budapest Management Review","DOI":"10.14267/VEZTUD.2014.04.01","ISSN":"01330179","journalAbbreviation":"Veztud","language":"hu","page":"2-17","source":"DOI.org (Crossref)","title":"A vállalati fenntarthatósági stratégia sikertényezője a fenntarthatósági számvitel","author":[{"family":"Fülöp","given":"Gyula"},{"family":"Hódi Hernádi","given":"Bettina"}],"issued":{"date-parts":[["2014",4]]}}}],"schema":"https://github.com/citation-style-language/schema/raw/master/csl-citation.json"} </w:instrText>
      </w:r>
      <w:r w:rsidR="0064643A" w:rsidRPr="007E723C">
        <w:rPr>
          <w:rFonts w:ascii="Georgia" w:hAnsi="Georgia" w:cs="Times New Roman"/>
          <w:sz w:val="24"/>
          <w:szCs w:val="24"/>
        </w:rPr>
        <w:fldChar w:fldCharType="separate"/>
      </w:r>
      <w:r w:rsidR="0064643A" w:rsidRPr="007E723C">
        <w:rPr>
          <w:rFonts w:ascii="Georgia" w:hAnsi="Georgia" w:cs="Times New Roman"/>
          <w:sz w:val="24"/>
          <w:szCs w:val="24"/>
        </w:rPr>
        <w:t>(Fülöp &amp; Hódi Hernádi, 2014)</w:t>
      </w:r>
      <w:r w:rsidR="0064643A" w:rsidRPr="007E723C">
        <w:rPr>
          <w:rFonts w:ascii="Georgia" w:hAnsi="Georgia" w:cs="Times New Roman"/>
          <w:sz w:val="24"/>
          <w:szCs w:val="24"/>
        </w:rPr>
        <w:fldChar w:fldCharType="end"/>
      </w:r>
      <w:r w:rsidR="00B54D10" w:rsidRPr="007E723C">
        <w:rPr>
          <w:rFonts w:ascii="Georgia" w:hAnsi="Georgia" w:cs="Times New Roman"/>
          <w:sz w:val="24"/>
          <w:szCs w:val="24"/>
        </w:rPr>
        <w:t xml:space="preserve">. </w:t>
      </w:r>
    </w:p>
    <w:p w14:paraId="315315A1" w14:textId="5B9698C2" w:rsidR="0064643A" w:rsidRPr="007E723C" w:rsidRDefault="0064643A" w:rsidP="00F23E27">
      <w:pPr>
        <w:spacing w:line="360" w:lineRule="auto"/>
        <w:jc w:val="both"/>
        <w:rPr>
          <w:rFonts w:ascii="Georgia" w:hAnsi="Georgia" w:cs="Times New Roman"/>
          <w:sz w:val="24"/>
          <w:szCs w:val="24"/>
        </w:rPr>
      </w:pPr>
      <w:r w:rsidRPr="007E723C">
        <w:rPr>
          <w:rFonts w:ascii="Georgia" w:hAnsi="Georgia" w:cs="Times New Roman"/>
          <w:sz w:val="24"/>
          <w:szCs w:val="24"/>
        </w:rPr>
        <w:lastRenderedPageBreak/>
        <w:t xml:space="preserve">A számvitelhez kapcsolódó egyik fő alapelv a vállalkozás folytatásának az elve, vagyis „a beszámoló elkészítésekor és a könyvvezetés során abból kell kiindulni, hogy a gazdálkodó a belátható jövőben is fenn tudja tartani működését, folytatni tudja tevékenységét, nem várható a működés beszüntetése vagy bármilyen okból történő jelentős csökkenése” </w:t>
      </w:r>
      <w:r w:rsidR="001A61E2" w:rsidRPr="007E723C">
        <w:rPr>
          <w:rFonts w:ascii="Georgia" w:hAnsi="Georgia" w:cs="Times New Roman"/>
          <w:sz w:val="24"/>
          <w:szCs w:val="24"/>
        </w:rPr>
        <w:fldChar w:fldCharType="begin"/>
      </w:r>
      <w:r w:rsidR="00B33DE5" w:rsidRPr="007E723C">
        <w:rPr>
          <w:rFonts w:ascii="Georgia" w:hAnsi="Georgia" w:cs="Times New Roman"/>
          <w:sz w:val="24"/>
          <w:szCs w:val="24"/>
        </w:rPr>
        <w:instrText xml:space="preserve"> ADDIN ZOTERO_ITEM CSL_CITATION {"citationID":"bxivxFEI","properties":{"formattedCitation":"(2000. \\uc0\\u233{}vi C. t\\uc0\\u246{}rv\\uc0\\u233{}ny a sz\\uc0\\u225{}mvitelr\\uc0\\u337{}l, \\uc0\\u233{}. n.)","plainCitation":"(2000. évi C. törvény a számvitelről, é. n.)","dontUpdate":true,"noteIndex":0},"citationItems":[{"id":719,"uris":["http://zotero.org/users/9445126/items/HIV9EWPZ"],"itemData":{"id":719,"type":"legislation","title":"2000. évi C. törvény a számvitelről"}}],"schema":"https://github.com/citation-style-language/schema/raw/master/csl-citation.json"} </w:instrText>
      </w:r>
      <w:r w:rsidR="001A61E2" w:rsidRPr="007E723C">
        <w:rPr>
          <w:rFonts w:ascii="Georgia" w:hAnsi="Georgia" w:cs="Times New Roman"/>
          <w:sz w:val="24"/>
          <w:szCs w:val="24"/>
        </w:rPr>
        <w:fldChar w:fldCharType="separate"/>
      </w:r>
      <w:r w:rsidR="001A61E2" w:rsidRPr="007E723C">
        <w:rPr>
          <w:rFonts w:ascii="Georgia" w:hAnsi="Georgia" w:cs="Times New Roman"/>
          <w:sz w:val="24"/>
          <w:szCs w:val="24"/>
        </w:rPr>
        <w:t>(2000. évi C. törvény a számvitelről, 15. § [1])</w:t>
      </w:r>
      <w:r w:rsidR="001A61E2" w:rsidRPr="007E723C">
        <w:rPr>
          <w:rFonts w:ascii="Georgia" w:hAnsi="Georgia" w:cs="Times New Roman"/>
          <w:sz w:val="24"/>
          <w:szCs w:val="24"/>
        </w:rPr>
        <w:fldChar w:fldCharType="end"/>
      </w:r>
      <w:r w:rsidR="001A61E2" w:rsidRPr="007E723C">
        <w:rPr>
          <w:rFonts w:ascii="Georgia" w:hAnsi="Georgia" w:cs="Times New Roman"/>
          <w:sz w:val="24"/>
          <w:szCs w:val="24"/>
        </w:rPr>
        <w:t>.</w:t>
      </w:r>
      <w:r w:rsidR="005A43D2" w:rsidRPr="007E723C">
        <w:rPr>
          <w:rFonts w:ascii="Georgia" w:hAnsi="Georgia" w:cs="Times New Roman"/>
          <w:sz w:val="24"/>
          <w:szCs w:val="24"/>
        </w:rPr>
        <w:t xml:space="preserve"> </w:t>
      </w:r>
      <w:r w:rsidR="00B762D9" w:rsidRPr="007E723C">
        <w:rPr>
          <w:rFonts w:ascii="Georgia" w:hAnsi="Georgia" w:cs="Times New Roman"/>
          <w:sz w:val="24"/>
          <w:szCs w:val="24"/>
        </w:rPr>
        <w:t xml:space="preserve">Ez a megfogalmazás arra enged következtetni, amit Aras és Crowther </w:t>
      </w:r>
      <w:r w:rsidR="001A61E2" w:rsidRPr="007E723C">
        <w:rPr>
          <w:rFonts w:ascii="Georgia" w:hAnsi="Georgia" w:cs="Times New Roman"/>
          <w:sz w:val="24"/>
          <w:szCs w:val="24"/>
        </w:rPr>
        <w:fldChar w:fldCharType="begin"/>
      </w:r>
      <w:r w:rsidR="001A61E2" w:rsidRPr="007E723C">
        <w:rPr>
          <w:rFonts w:ascii="Georgia" w:hAnsi="Georgia" w:cs="Times New Roman"/>
          <w:sz w:val="24"/>
          <w:szCs w:val="24"/>
        </w:rPr>
        <w:instrText xml:space="preserve"> ADDIN ZOTERO_ITEM CSL_CITATION {"citationID":"95x0Wadd","properties":{"formattedCitation":"(2008)","plainCitation":"(2008)","noteIndex":0},"citationItems":[{"id":753,"uris":["http://zotero.org/users/9445126/items/PCBHFACS"],"itemData":{"id":753,"type":"article-journal","container-title":"Issues in Social and Environmental Accounting","issue":"1","page":"19–35","source":"Google Scholar","title":"Evaluating sustainability: a need for standards","title-short":"Evaluating sustainability","volume":"2","author":[{"family":"Aras","given":"Güler"},{"family":"Crowther","given":"David"}],"issued":{"date-parts":[["2008"]]}},"label":"page","suppress-author":true}],"schema":"https://github.com/citation-style-language/schema/raw/master/csl-citation.json"} </w:instrText>
      </w:r>
      <w:r w:rsidR="001A61E2" w:rsidRPr="007E723C">
        <w:rPr>
          <w:rFonts w:ascii="Georgia" w:hAnsi="Georgia" w:cs="Times New Roman"/>
          <w:sz w:val="24"/>
          <w:szCs w:val="24"/>
        </w:rPr>
        <w:fldChar w:fldCharType="separate"/>
      </w:r>
      <w:r w:rsidR="001A61E2" w:rsidRPr="007E723C">
        <w:rPr>
          <w:rFonts w:ascii="Georgia" w:hAnsi="Georgia" w:cs="Times New Roman"/>
          <w:sz w:val="24"/>
          <w:szCs w:val="24"/>
        </w:rPr>
        <w:t>(2008)</w:t>
      </w:r>
      <w:r w:rsidR="001A61E2" w:rsidRPr="007E723C">
        <w:rPr>
          <w:rFonts w:ascii="Georgia" w:hAnsi="Georgia" w:cs="Times New Roman"/>
          <w:sz w:val="24"/>
          <w:szCs w:val="24"/>
        </w:rPr>
        <w:fldChar w:fldCharType="end"/>
      </w:r>
      <w:r w:rsidR="001A61E2" w:rsidRPr="007E723C">
        <w:rPr>
          <w:rFonts w:ascii="Georgia" w:hAnsi="Georgia" w:cs="Times New Roman"/>
          <w:sz w:val="24"/>
          <w:szCs w:val="24"/>
        </w:rPr>
        <w:t xml:space="preserve"> </w:t>
      </w:r>
      <w:r w:rsidR="00B762D9" w:rsidRPr="007E723C">
        <w:rPr>
          <w:rFonts w:ascii="Georgia" w:hAnsi="Georgia" w:cs="Times New Roman"/>
          <w:sz w:val="24"/>
          <w:szCs w:val="24"/>
        </w:rPr>
        <w:t>is kiemel kutatásában, hogy ha egy társaság érvényesíteni tudja a vállalkozás folytatásának az elvét, akkor egyben fenntarthatóvá is válik. Ez azonban nem teljesen így van. Hódi Hernádi</w:t>
      </w:r>
      <w:r w:rsidR="007D0797" w:rsidRPr="007E723C">
        <w:rPr>
          <w:rFonts w:ascii="Georgia" w:hAnsi="Georgia" w:cs="Times New Roman"/>
          <w:sz w:val="24"/>
          <w:szCs w:val="24"/>
        </w:rPr>
        <w:t xml:space="preserve"> </w:t>
      </w:r>
      <w:r w:rsidR="007D0797" w:rsidRPr="007E723C">
        <w:rPr>
          <w:rFonts w:ascii="Georgia" w:hAnsi="Georgia" w:cs="Times New Roman"/>
          <w:sz w:val="24"/>
          <w:szCs w:val="24"/>
        </w:rPr>
        <w:fldChar w:fldCharType="begin"/>
      </w:r>
      <w:r w:rsidR="001E61EE" w:rsidRPr="007E723C">
        <w:rPr>
          <w:rFonts w:ascii="Georgia" w:hAnsi="Georgia" w:cs="Times New Roman"/>
          <w:sz w:val="24"/>
          <w:szCs w:val="24"/>
        </w:rPr>
        <w:instrText xml:space="preserve"> ADDIN ZOTERO_ITEM CSL_CITATION {"citationID":"1LkFWFjR","properties":{"formattedCitation":"(2012)","plainCitation":"(2012)","noteIndex":0},"citationItems":[{"id":756,"uris":["http://zotero.org/users/9445126/items/9ZGQK2TQ"],"itemData":{"id":756,"type":"article-journal","container-title":"Theory, Methodology, Practice","issue":"02","page":"23–30","source":"Google Scholar","title":"Green accounting for corporate sustainability","volume":"8","author":[{"family":"Hódi Hernádi","given":"Bettina"}],"issued":{"date-parts":[["2012"]]}},"label":"page","suppress-author":true}],"schema":"https://github.com/citation-style-language/schema/raw/master/csl-citation.json"} </w:instrText>
      </w:r>
      <w:r w:rsidR="007D0797" w:rsidRPr="007E723C">
        <w:rPr>
          <w:rFonts w:ascii="Georgia" w:hAnsi="Georgia" w:cs="Times New Roman"/>
          <w:sz w:val="24"/>
          <w:szCs w:val="24"/>
        </w:rPr>
        <w:fldChar w:fldCharType="separate"/>
      </w:r>
      <w:r w:rsidR="007D0797" w:rsidRPr="007E723C">
        <w:rPr>
          <w:rFonts w:ascii="Georgia" w:hAnsi="Georgia" w:cs="Times New Roman"/>
          <w:sz w:val="24"/>
          <w:szCs w:val="24"/>
        </w:rPr>
        <w:t>(2012)</w:t>
      </w:r>
      <w:r w:rsidR="007D0797" w:rsidRPr="007E723C">
        <w:rPr>
          <w:rFonts w:ascii="Georgia" w:hAnsi="Georgia" w:cs="Times New Roman"/>
          <w:sz w:val="24"/>
          <w:szCs w:val="24"/>
        </w:rPr>
        <w:fldChar w:fldCharType="end"/>
      </w:r>
      <w:r w:rsidR="00B762D9" w:rsidRPr="007E723C">
        <w:rPr>
          <w:rFonts w:ascii="Georgia" w:hAnsi="Georgia" w:cs="Times New Roman"/>
          <w:sz w:val="24"/>
          <w:szCs w:val="24"/>
        </w:rPr>
        <w:t xml:space="preserve"> szerint egy vállalat külső környezetének része többek között a helyi társadalom és a természet is, amelyek szintén hatással lehetnek a vállalati működésre, illetve annak fenntarthatóságára</w:t>
      </w:r>
      <w:r w:rsidR="00210793" w:rsidRPr="007E723C">
        <w:rPr>
          <w:rFonts w:ascii="Georgia" w:hAnsi="Georgia" w:cs="Times New Roman"/>
          <w:sz w:val="24"/>
          <w:szCs w:val="24"/>
        </w:rPr>
        <w:t xml:space="preserve">. Emellett az érintettek körét is érdemes kibővíteni, hiszen az előbb említett helyi lakosság, vagy a természeti környezet, a jövőbeli tulajdonosok, a leendő új munkaerő, vagy a jövő generációi éppúgy érintettjei egy társaság működésének, mint egy egyszerű vevő vagy szállító. A fenntarthatósági számvitel pont erre kíván rávilágítani, hogy ezen érintettek számára is felhasználható információt kell szolgáltatni. Nyilvánvaló, hogy a különböző érintetti csoportoknak más és más </w:t>
      </w:r>
      <w:r w:rsidR="00F23E27" w:rsidRPr="007E723C">
        <w:rPr>
          <w:rFonts w:ascii="Georgia" w:hAnsi="Georgia" w:cs="Times New Roman"/>
          <w:sz w:val="24"/>
          <w:szCs w:val="24"/>
        </w:rPr>
        <w:t>adatokra lesz szükségük, így olyan számviteli információs rendszert kell működtetni, amely mind a belső, mind a külső érdekeltek számára valós képet tud mutatni a vállalati működés társadalmi és környezeti hatásairól</w:t>
      </w:r>
      <w:r w:rsidR="00210793" w:rsidRPr="007E723C">
        <w:rPr>
          <w:rFonts w:ascii="Georgia" w:hAnsi="Georgia" w:cs="Times New Roman"/>
          <w:sz w:val="24"/>
          <w:szCs w:val="24"/>
        </w:rPr>
        <w:t xml:space="preserve"> </w:t>
      </w:r>
      <w:r w:rsidR="00B762D9" w:rsidRPr="007E723C">
        <w:rPr>
          <w:rFonts w:ascii="Georgia" w:hAnsi="Georgia" w:cs="Times New Roman"/>
          <w:sz w:val="24"/>
          <w:szCs w:val="24"/>
        </w:rPr>
        <w:fldChar w:fldCharType="begin"/>
      </w:r>
      <w:r w:rsidR="00B762D9" w:rsidRPr="007E723C">
        <w:rPr>
          <w:rFonts w:ascii="Georgia" w:hAnsi="Georgia" w:cs="Times New Roman"/>
          <w:sz w:val="24"/>
          <w:szCs w:val="24"/>
        </w:rPr>
        <w:instrText xml:space="preserve"> ADDIN ZOTERO_ITEM CSL_CITATION {"citationID":"8DMFvGDR","properties":{"formattedCitation":"(F\\uc0\\u252{}l\\uc0\\u246{}p &amp; H\\uc0\\u243{}di Hern\\uc0\\u225{}di, 2014)","plainCitation":"(Fülöp &amp; Hódi Hernádi, 2014)","noteIndex":0},"citationItems":[{"id":560,"uris":["http://zotero.org/users/9445126/items/ZZ8PSGCK"],"itemData":{"id":560,"type":"article-journal","abstract":"Az utóbbi évtizedben a fenntarthatóság követelményei számos vállalat stratégiájában megjelentek. A gazdasági célok mellett meghatározzák a követendő társadalmi és környezeti szempontokat is. Ugyanakkor számos empirikus vizsgálat azt mutatja, hogy a társadalmi és környezeti teljesítményük csak lassan javul. Ezért megfelelő gazdálkodási módszerek és eszközök alkalmazására van szükség a vállalaton belüli stratégiai döntések és tevékenységek gazdasági, társadalmi és természeti környezeti hatásainak a mérésére. Ennek a tanulmánynak a célja a fenntarthatósági stratégia és a fenntarthatósági számvitel mint kulcsfontosságú sikertényező interakciójának a vizsgálata. A cikk a fenntarthatósági stratégiai menedzsment folyamatából indul ki. Ezután ismerteti a stratégiai teljesítményértékelés új megközelítéseit a hagyományos számvitellel kezdve, a környezeti számvitelen át, a fenntarthatósági számvitelig. Ehhez szorosan kapcsolódik egy vállalati esettanulmány, amely a fenntarthatósági számvitel szerepét és hozzájárulását értékeli a fenntarthatósági stratégia sikeres bevezetése során.","container-title":"Vezetéstudomány / Budapest Management Review","DOI":"10.14267/VEZTUD.2014.04.01","ISSN":"01330179","journalAbbreviation":"Veztud","language":"hu","page":"2-17","source":"DOI.org (Crossref)","title":"A vállalati fenntarthatósági stratégia sikertényezője a fenntarthatósági számvitel","author":[{"family":"Fülöp","given":"Gyula"},{"family":"Hódi Hernádi","given":"Bettina"}],"issued":{"date-parts":[["2014",4]]}}}],"schema":"https://github.com/citation-style-language/schema/raw/master/csl-citation.json"} </w:instrText>
      </w:r>
      <w:r w:rsidR="00B762D9" w:rsidRPr="007E723C">
        <w:rPr>
          <w:rFonts w:ascii="Georgia" w:hAnsi="Georgia" w:cs="Times New Roman"/>
          <w:sz w:val="24"/>
          <w:szCs w:val="24"/>
        </w:rPr>
        <w:fldChar w:fldCharType="separate"/>
      </w:r>
      <w:r w:rsidR="00B762D9" w:rsidRPr="007E723C">
        <w:rPr>
          <w:rFonts w:ascii="Georgia" w:hAnsi="Georgia" w:cs="Times New Roman"/>
          <w:sz w:val="24"/>
          <w:szCs w:val="24"/>
        </w:rPr>
        <w:t>(Fülöp &amp; Hódi Hernádi, 2014)</w:t>
      </w:r>
      <w:r w:rsidR="00B762D9" w:rsidRPr="007E723C">
        <w:rPr>
          <w:rFonts w:ascii="Georgia" w:hAnsi="Georgia" w:cs="Times New Roman"/>
          <w:sz w:val="24"/>
          <w:szCs w:val="24"/>
        </w:rPr>
        <w:fldChar w:fldCharType="end"/>
      </w:r>
      <w:r w:rsidR="00B762D9" w:rsidRPr="007E723C">
        <w:rPr>
          <w:rFonts w:ascii="Georgia" w:hAnsi="Georgia" w:cs="Times New Roman"/>
          <w:sz w:val="24"/>
          <w:szCs w:val="24"/>
        </w:rPr>
        <w:t xml:space="preserve">. </w:t>
      </w:r>
    </w:p>
    <w:p w14:paraId="164427F5" w14:textId="1F9EDF07" w:rsidR="00F23E27" w:rsidRPr="007E723C" w:rsidRDefault="00F23E27" w:rsidP="00A80F9C">
      <w:pPr>
        <w:spacing w:line="360" w:lineRule="auto"/>
        <w:ind w:firstLine="709"/>
        <w:jc w:val="both"/>
        <w:rPr>
          <w:rFonts w:ascii="Georgia" w:hAnsi="Georgia" w:cs="Times New Roman"/>
          <w:sz w:val="24"/>
          <w:szCs w:val="24"/>
        </w:rPr>
      </w:pPr>
      <w:r w:rsidRPr="007E723C">
        <w:rPr>
          <w:rFonts w:ascii="Georgia" w:hAnsi="Georgia" w:cs="Times New Roman"/>
          <w:sz w:val="24"/>
          <w:szCs w:val="24"/>
        </w:rPr>
        <w:t>A környezeti számvitel az az ú</w:t>
      </w:r>
      <w:r w:rsidR="00A80F9C" w:rsidRPr="007E723C">
        <w:rPr>
          <w:rFonts w:ascii="Georgia" w:hAnsi="Georgia" w:cs="Times New Roman"/>
          <w:sz w:val="24"/>
          <w:szCs w:val="24"/>
        </w:rPr>
        <w:t>j</w:t>
      </w:r>
      <w:r w:rsidRPr="007E723C">
        <w:rPr>
          <w:rFonts w:ascii="Georgia" w:hAnsi="Georgia" w:cs="Times New Roman"/>
          <w:sz w:val="24"/>
          <w:szCs w:val="24"/>
        </w:rPr>
        <w:t xml:space="preserve"> információs rendszer, amely már egy lépéssel közelebb visz ahhoz, hogy a vállalatok megfelelően tudják követni és bemutatni a fenntarthatósággal kapcsolatos tevékenységüket.</w:t>
      </w:r>
      <w:r w:rsidR="00A80F9C" w:rsidRPr="007E723C">
        <w:rPr>
          <w:rFonts w:ascii="Georgia" w:hAnsi="Georgia" w:cs="Times New Roman"/>
          <w:sz w:val="24"/>
          <w:szCs w:val="24"/>
        </w:rPr>
        <w:t xml:space="preserve"> „A környezeti számvitel a számvitel olyan területeként határozható meg, amely azokat a tevékenységeket, módszereket és rendszereket foglalja magában, amelyek egy meghatározott gazdasági rendszer környezetvédelmi problémáit vagy a környezetvédelmi tevékenységek gazdasági hatásait tartja nyilván, elemzi és jelentésbe foglalja.”</w:t>
      </w:r>
      <w:r w:rsidR="007D0797" w:rsidRPr="007E723C">
        <w:rPr>
          <w:rFonts w:ascii="Georgia" w:hAnsi="Georgia" w:cs="Times New Roman"/>
          <w:sz w:val="24"/>
          <w:szCs w:val="24"/>
        </w:rPr>
        <w:t xml:space="preserve"> </w:t>
      </w:r>
      <w:r w:rsidR="007D0797" w:rsidRPr="007E723C">
        <w:rPr>
          <w:rFonts w:ascii="Georgia" w:hAnsi="Georgia" w:cs="Times New Roman"/>
          <w:sz w:val="24"/>
          <w:szCs w:val="24"/>
        </w:rPr>
        <w:fldChar w:fldCharType="begin"/>
      </w:r>
      <w:r w:rsidR="007D0797" w:rsidRPr="007E723C">
        <w:rPr>
          <w:rFonts w:ascii="Georgia" w:hAnsi="Georgia" w:cs="Times New Roman"/>
          <w:sz w:val="24"/>
          <w:szCs w:val="24"/>
        </w:rPr>
        <w:instrText xml:space="preserve"> ADDIN ZOTERO_ITEM CSL_CITATION {"citationID":"VZvbtQ2U","properties":{"formattedCitation":"(Schaltegger &amp; Burritt, 2001)","plainCitation":"(Schaltegger &amp; Burritt, 2001)","noteIndex":0},"citationItems":[{"id":759,"uris":["http://zotero.org/users/9445126/items/X92YSN8I"],"itemData":{"id":759,"type":"article-journal","container-title":"International Journal of Sustainability in Higher Education","note":"publisher: Emerald Group Publishing Limited","source":"Google Scholar","title":"Contemporary environmental accounting: Issues, concepts and practice","title-short":"BOOKS Contemporary Environmental Accounting","author":[{"family":"Schaltegger","given":"Stefan"},{"family":"Burritt","given":"Roger"}],"issued":{"date-parts":[["2001"]]}}}],"schema":"https://github.com/citation-style-language/schema/raw/master/csl-citation.json"} </w:instrText>
      </w:r>
      <w:r w:rsidR="007D0797" w:rsidRPr="007E723C">
        <w:rPr>
          <w:rFonts w:ascii="Georgia" w:hAnsi="Georgia" w:cs="Times New Roman"/>
          <w:sz w:val="24"/>
          <w:szCs w:val="24"/>
        </w:rPr>
        <w:fldChar w:fldCharType="separate"/>
      </w:r>
      <w:r w:rsidR="007D0797" w:rsidRPr="007E723C">
        <w:rPr>
          <w:rFonts w:ascii="Georgia" w:hAnsi="Georgia" w:cs="Times New Roman"/>
          <w:sz w:val="24"/>
          <w:szCs w:val="24"/>
        </w:rPr>
        <w:t>(Schaltegger &amp; Burritt, 2001)</w:t>
      </w:r>
      <w:r w:rsidR="007D0797" w:rsidRPr="007E723C">
        <w:rPr>
          <w:rFonts w:ascii="Georgia" w:hAnsi="Georgia" w:cs="Times New Roman"/>
          <w:sz w:val="24"/>
          <w:szCs w:val="24"/>
        </w:rPr>
        <w:fldChar w:fldCharType="end"/>
      </w:r>
      <w:r w:rsidR="00C91BD5" w:rsidRPr="007E723C">
        <w:rPr>
          <w:rFonts w:ascii="Georgia" w:hAnsi="Georgia" w:cs="Times New Roman"/>
          <w:sz w:val="24"/>
          <w:szCs w:val="24"/>
        </w:rPr>
        <w:t xml:space="preserve"> Ez a rendszer, ahogy arra fenti definíció is utal</w:t>
      </w:r>
      <w:r w:rsidR="00D522D4" w:rsidRPr="007E723C">
        <w:rPr>
          <w:rFonts w:ascii="Georgia" w:hAnsi="Georgia" w:cs="Times New Roman"/>
          <w:sz w:val="24"/>
          <w:szCs w:val="24"/>
        </w:rPr>
        <w:t xml:space="preserve">, alapvetően két részre tagolódik: az egyik a környezetvédelem miatti kiadások/megtakarítások, a másik pedig a vállalat működése okozta környezeti változások. Ezt a két kategóriát tovább bontva kapjuk meg a környezeti számvitel négy fő területét, melyek a belső, illetve külső ökológiai számvitel, valamint a környezeti vezetői, illetve pénzügyi számvitel. </w:t>
      </w:r>
      <w:r w:rsidR="009A5CD8" w:rsidRPr="007E723C">
        <w:rPr>
          <w:rFonts w:ascii="Georgia" w:hAnsi="Georgia" w:cs="Times New Roman"/>
          <w:sz w:val="24"/>
          <w:szCs w:val="24"/>
        </w:rPr>
        <w:t>A rendszerben</w:t>
      </w:r>
      <w:r w:rsidR="00D522D4" w:rsidRPr="007E723C">
        <w:rPr>
          <w:rFonts w:ascii="Georgia" w:hAnsi="Georgia" w:cs="Times New Roman"/>
          <w:sz w:val="24"/>
          <w:szCs w:val="24"/>
        </w:rPr>
        <w:t xml:space="preserve"> a hatásokat </w:t>
      </w:r>
      <w:r w:rsidR="009A5CD8" w:rsidRPr="007E723C">
        <w:rPr>
          <w:rFonts w:ascii="Georgia" w:hAnsi="Georgia" w:cs="Times New Roman"/>
          <w:sz w:val="24"/>
          <w:szCs w:val="24"/>
        </w:rPr>
        <w:t xml:space="preserve">egyébként </w:t>
      </w:r>
      <w:r w:rsidR="00D522D4" w:rsidRPr="007E723C">
        <w:rPr>
          <w:rFonts w:ascii="Georgia" w:hAnsi="Georgia" w:cs="Times New Roman"/>
          <w:sz w:val="24"/>
          <w:szCs w:val="24"/>
        </w:rPr>
        <w:t xml:space="preserve">nem csak pénzben, hanem naturáliákban is rögzítik, hiszen </w:t>
      </w:r>
      <w:r w:rsidR="00D522D4" w:rsidRPr="007E723C">
        <w:rPr>
          <w:rFonts w:ascii="Georgia" w:hAnsi="Georgia" w:cs="Times New Roman"/>
          <w:sz w:val="24"/>
          <w:szCs w:val="24"/>
        </w:rPr>
        <w:lastRenderedPageBreak/>
        <w:t xml:space="preserve">a hagyományos számvitelhez képest itt nagy jelentősége van a nem monetáris jellemzőknek is. </w:t>
      </w:r>
      <w:r w:rsidR="009A5CD8" w:rsidRPr="007E723C">
        <w:rPr>
          <w:rFonts w:ascii="Georgia" w:hAnsi="Georgia" w:cs="Times New Roman"/>
          <w:sz w:val="24"/>
          <w:szCs w:val="24"/>
        </w:rPr>
        <w:t xml:space="preserve">Fontos azonban kiemelni ennek a számviteli rendszernek a legfőbb hiányosságát is, </w:t>
      </w:r>
      <w:r w:rsidR="005110A5" w:rsidRPr="007E723C">
        <w:rPr>
          <w:rFonts w:ascii="Georgia" w:hAnsi="Georgia" w:cs="Times New Roman"/>
          <w:sz w:val="24"/>
          <w:szCs w:val="24"/>
        </w:rPr>
        <w:t xml:space="preserve">ami abban áll, </w:t>
      </w:r>
      <w:r w:rsidR="009A5CD8" w:rsidRPr="007E723C">
        <w:rPr>
          <w:rFonts w:ascii="Georgia" w:hAnsi="Georgia" w:cs="Times New Roman"/>
          <w:sz w:val="24"/>
          <w:szCs w:val="24"/>
        </w:rPr>
        <w:t xml:space="preserve">hogy vállalati működés szociális vonatkozását teljes mértékben figyelmen kívül hagyja. Bár léteznek olyan tanulmányok, melyek a társadalmat a természet környezet tagjának tekintik, ezért úgy tartják, hogy a társadalmi hatásokat nem kell külön figyelembe venni </w:t>
      </w:r>
      <w:r w:rsidR="009A5CD8" w:rsidRPr="007E723C">
        <w:rPr>
          <w:rFonts w:ascii="Georgia" w:hAnsi="Georgia" w:cs="Times New Roman"/>
          <w:sz w:val="24"/>
          <w:szCs w:val="24"/>
        </w:rPr>
        <w:fldChar w:fldCharType="begin"/>
      </w:r>
      <w:r w:rsidR="009A5CD8" w:rsidRPr="007E723C">
        <w:rPr>
          <w:rFonts w:ascii="Georgia" w:hAnsi="Georgia" w:cs="Times New Roman"/>
          <w:sz w:val="24"/>
          <w:szCs w:val="24"/>
        </w:rPr>
        <w:instrText xml:space="preserve"> ADDIN ZOTERO_ITEM CSL_CITATION {"citationID":"SBw9aL0X","properties":{"formattedCitation":"(F\\uc0\\u252{}l\\uc0\\u246{}p &amp; H\\uc0\\u243{}di Hern\\uc0\\u225{}di, 2014)","plainCitation":"(Fülöp &amp; Hódi Hernádi, 2014)","noteIndex":0},"citationItems":[{"id":560,"uris":["http://zotero.org/users/9445126/items/ZZ8PSGCK"],"itemData":{"id":560,"type":"article-journal","abstract":"Az utóbbi évtizedben a fenntarthatóság követelményei számos vállalat stratégiájában megjelentek. A gazdasági célok mellett meghatározzák a követendő társadalmi és környezeti szempontokat is. Ugyanakkor számos empirikus vizsgálat azt mutatja, hogy a társadalmi és környezeti teljesítményük csak lassan javul. Ezért megfelelő gazdálkodási módszerek és eszközök alkalmazására van szükség a vállalaton belüli stratégiai döntések és tevékenységek gazdasági, társadalmi és természeti környezeti hatásainak a mérésére. Ennek a tanulmánynak a célja a fenntarthatósági stratégia és a fenntarthatósági számvitel mint kulcsfontosságú sikertényező interakciójának a vizsgálata. A cikk a fenntarthatósági stratégiai menedzsment folyamatából indul ki. Ezután ismerteti a stratégiai teljesítményértékelés új megközelítéseit a hagyományos számvitellel kezdve, a környezeti számvitelen át, a fenntarthatósági számvitelig. Ehhez szorosan kapcsolódik egy vállalati esettanulmány, amely a fenntarthatósági számvitel szerepét és hozzájárulását értékeli a fenntarthatósági stratégia sikeres bevezetése során.","container-title":"Vezetéstudomány / Budapest Management Review","DOI":"10.14267/VEZTUD.2014.04.01","ISSN":"01330179","journalAbbreviation":"Veztud","language":"hu","page":"2-17","source":"DOI.org (Crossref)","title":"A vállalati fenntarthatósági stratégia sikertényezője a fenntarthatósági számvitel","author":[{"family":"Fülöp","given":"Gyula"},{"family":"Hódi Hernádi","given":"Bettina"}],"issued":{"date-parts":[["2014",4]]}}}],"schema":"https://github.com/citation-style-language/schema/raw/master/csl-citation.json"} </w:instrText>
      </w:r>
      <w:r w:rsidR="009A5CD8" w:rsidRPr="007E723C">
        <w:rPr>
          <w:rFonts w:ascii="Georgia" w:hAnsi="Georgia" w:cs="Times New Roman"/>
          <w:sz w:val="24"/>
          <w:szCs w:val="24"/>
        </w:rPr>
        <w:fldChar w:fldCharType="separate"/>
      </w:r>
      <w:r w:rsidR="009A5CD8" w:rsidRPr="007E723C">
        <w:rPr>
          <w:rFonts w:ascii="Georgia" w:hAnsi="Georgia" w:cs="Times New Roman"/>
          <w:sz w:val="24"/>
          <w:szCs w:val="24"/>
        </w:rPr>
        <w:t>(Fülöp &amp; Hódi Hernádi, 2014)</w:t>
      </w:r>
      <w:r w:rsidR="009A5CD8" w:rsidRPr="007E723C">
        <w:rPr>
          <w:rFonts w:ascii="Georgia" w:hAnsi="Georgia" w:cs="Times New Roman"/>
          <w:sz w:val="24"/>
          <w:szCs w:val="24"/>
        </w:rPr>
        <w:fldChar w:fldCharType="end"/>
      </w:r>
      <w:r w:rsidR="009A5CD8" w:rsidRPr="007E723C">
        <w:rPr>
          <w:rFonts w:ascii="Georgia" w:hAnsi="Georgia" w:cs="Times New Roman"/>
          <w:sz w:val="24"/>
          <w:szCs w:val="24"/>
        </w:rPr>
        <w:t xml:space="preserve">. </w:t>
      </w:r>
    </w:p>
    <w:p w14:paraId="78E45F0C" w14:textId="0F898EC5" w:rsidR="00EE64F8" w:rsidRPr="007E723C" w:rsidRDefault="009A5CD8" w:rsidP="00EE64F8">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számvitel egy következő szintje és egyben csúcsa is a fenntarthatósági számvitel</w:t>
      </w:r>
      <w:r w:rsidR="00223E38" w:rsidRPr="007E723C">
        <w:rPr>
          <w:rFonts w:ascii="Georgia" w:hAnsi="Georgia" w:cs="Times New Roman"/>
          <w:sz w:val="24"/>
          <w:szCs w:val="24"/>
        </w:rPr>
        <w:t>, amely</w:t>
      </w:r>
      <w:r w:rsidR="00EE64F8" w:rsidRPr="007E723C">
        <w:rPr>
          <w:rFonts w:ascii="Georgia" w:hAnsi="Georgia" w:cs="Times New Roman"/>
          <w:sz w:val="24"/>
          <w:szCs w:val="24"/>
        </w:rPr>
        <w:t xml:space="preserve"> „a számvitelnek egy olyan része, amely olyan tevékenységeket, módszereket és rendszereket foglal magában, amelyek révén nyilvántartja, elemzi és jelentésbe foglalja a vállalat és a fenntarthatóság között lévő következő kapcsolatokat: a környezet és a társadalom által indukált pénzügyi hatásokat; a vállalati tevékenység környezetre és társadalomra gyakorolt hatásait; a fenntarthatóság három dimenzióját jelentő gazdasági, társadalmi és környezeti kérdések között fennálló kölcsönhatásokat és kapcsolatokat.”</w:t>
      </w:r>
      <w:r w:rsidR="007D0797" w:rsidRPr="007E723C">
        <w:rPr>
          <w:rFonts w:ascii="Georgia" w:hAnsi="Georgia" w:cs="Times New Roman"/>
          <w:sz w:val="24"/>
          <w:szCs w:val="24"/>
        </w:rPr>
        <w:t xml:space="preserve"> </w:t>
      </w:r>
      <w:r w:rsidR="007D0797" w:rsidRPr="007E723C">
        <w:rPr>
          <w:rFonts w:ascii="Georgia" w:hAnsi="Georgia" w:cs="Times New Roman"/>
          <w:sz w:val="24"/>
          <w:szCs w:val="24"/>
        </w:rPr>
        <w:fldChar w:fldCharType="begin"/>
      </w:r>
      <w:r w:rsidR="007D0797" w:rsidRPr="007E723C">
        <w:rPr>
          <w:rFonts w:ascii="Georgia" w:hAnsi="Georgia" w:cs="Times New Roman"/>
          <w:sz w:val="24"/>
          <w:szCs w:val="24"/>
        </w:rPr>
        <w:instrText xml:space="preserve"> ADDIN ZOTERO_ITEM CSL_CITATION {"citationID":"fyeACQW3","properties":{"formattedCitation":"(Schaltegger &amp; Burritt, 2010)","plainCitation":"(Schaltegger &amp; Burritt, 2010)","noteIndex":0},"citationItems":[{"id":761,"uris":["http://zotero.org/users/9445126/items/UWJCQH3E"],"itemData":{"id":761,"type":"article-journal","container-title":"Journal of World Business","issue":"4","note":"publisher: Elsevier","page":"375–384","source":"Google Scholar","title":"Sustainability accounting for companies: Catchphrase or decision support for business leaders?","title-short":"Sustainability accounting for companies","volume":"45","author":[{"family":"Schaltegger","given":"Stefan"},{"family":"Burritt","given":"Roger L."}],"issued":{"date-parts":[["2010"]]}}}],"schema":"https://github.com/citation-style-language/schema/raw/master/csl-citation.json"} </w:instrText>
      </w:r>
      <w:r w:rsidR="007D0797" w:rsidRPr="007E723C">
        <w:rPr>
          <w:rFonts w:ascii="Georgia" w:hAnsi="Georgia" w:cs="Times New Roman"/>
          <w:sz w:val="24"/>
          <w:szCs w:val="24"/>
        </w:rPr>
        <w:fldChar w:fldCharType="separate"/>
      </w:r>
      <w:r w:rsidR="007D0797" w:rsidRPr="007E723C">
        <w:rPr>
          <w:rFonts w:ascii="Georgia" w:hAnsi="Georgia" w:cs="Times New Roman"/>
          <w:sz w:val="24"/>
          <w:szCs w:val="24"/>
        </w:rPr>
        <w:t>(Schaltegger &amp; Burritt, 2010)</w:t>
      </w:r>
      <w:r w:rsidR="007D0797" w:rsidRPr="007E723C">
        <w:rPr>
          <w:rFonts w:ascii="Georgia" w:hAnsi="Georgia" w:cs="Times New Roman"/>
          <w:sz w:val="24"/>
          <w:szCs w:val="24"/>
        </w:rPr>
        <w:fldChar w:fldCharType="end"/>
      </w:r>
    </w:p>
    <w:p w14:paraId="6C4C33C2" w14:textId="7735CE4B" w:rsidR="000900B4" w:rsidRPr="007E723C" w:rsidRDefault="00EE64F8" w:rsidP="00CC2B89">
      <w:pPr>
        <w:spacing w:after="120"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rendszer </w:t>
      </w:r>
      <w:r w:rsidR="000A3EA1" w:rsidRPr="007E723C">
        <w:rPr>
          <w:rFonts w:ascii="Georgia" w:hAnsi="Georgia" w:cs="Times New Roman"/>
          <w:sz w:val="24"/>
          <w:szCs w:val="24"/>
        </w:rPr>
        <w:t>elsődleges célja</w:t>
      </w:r>
      <w:r w:rsidRPr="007E723C">
        <w:rPr>
          <w:rFonts w:ascii="Georgia" w:hAnsi="Georgia" w:cs="Times New Roman"/>
          <w:sz w:val="24"/>
          <w:szCs w:val="24"/>
        </w:rPr>
        <w:t xml:space="preserve"> tehát</w:t>
      </w:r>
      <w:r w:rsidR="000A3EA1" w:rsidRPr="007E723C">
        <w:rPr>
          <w:rFonts w:ascii="Georgia" w:hAnsi="Georgia" w:cs="Times New Roman"/>
          <w:sz w:val="24"/>
          <w:szCs w:val="24"/>
        </w:rPr>
        <w:t>, hogy a vállalatok mérni tudják fenntarthatósági teljesítményüket integrálva</w:t>
      </w:r>
      <w:r w:rsidR="00223E38" w:rsidRPr="007E723C">
        <w:rPr>
          <w:rFonts w:ascii="Georgia" w:hAnsi="Georgia" w:cs="Times New Roman"/>
          <w:sz w:val="24"/>
          <w:szCs w:val="24"/>
        </w:rPr>
        <w:t xml:space="preserve"> a gazdasági, társadalmi és környezeti dimenzió</w:t>
      </w:r>
      <w:r w:rsidR="000A3EA1" w:rsidRPr="007E723C">
        <w:rPr>
          <w:rFonts w:ascii="Georgia" w:hAnsi="Georgia" w:cs="Times New Roman"/>
          <w:sz w:val="24"/>
          <w:szCs w:val="24"/>
        </w:rPr>
        <w:t>ka</w:t>
      </w:r>
      <w:r w:rsidR="00223E38" w:rsidRPr="007E723C">
        <w:rPr>
          <w:rFonts w:ascii="Georgia" w:hAnsi="Georgia" w:cs="Times New Roman"/>
          <w:sz w:val="24"/>
          <w:szCs w:val="24"/>
        </w:rPr>
        <w:t>t</w:t>
      </w:r>
      <w:r w:rsidR="000A3EA1" w:rsidRPr="007E723C">
        <w:rPr>
          <w:rFonts w:ascii="Georgia" w:hAnsi="Georgia" w:cs="Times New Roman"/>
          <w:sz w:val="24"/>
          <w:szCs w:val="24"/>
        </w:rPr>
        <w:t>.</w:t>
      </w:r>
    </w:p>
    <w:p w14:paraId="2C5C957E" w14:textId="77777777" w:rsidR="000900B4" w:rsidRPr="0035351E" w:rsidRDefault="00766E5B" w:rsidP="00CC2B89">
      <w:pPr>
        <w:spacing w:after="120" w:line="360" w:lineRule="auto"/>
        <w:jc w:val="both"/>
        <w:rPr>
          <w:rFonts w:ascii="Georgia" w:hAnsi="Georgia" w:cs="Times New Roman"/>
          <w:b/>
          <w:bCs/>
          <w:sz w:val="24"/>
          <w:szCs w:val="24"/>
        </w:rPr>
      </w:pPr>
      <w:r w:rsidRPr="0035351E">
        <w:rPr>
          <w:rFonts w:ascii="Georgia" w:hAnsi="Georgia" w:cs="Times New Roman"/>
          <w:b/>
          <w:bCs/>
          <w:sz w:val="24"/>
          <w:szCs w:val="24"/>
        </w:rPr>
        <w:t>Ez a megközelítés már alapjaiban véve kezd hasonlítani a későbbi fejezetekben bemutatásra kerülő és egyben a dolgozat fókuszában álló ESG szempontrendszerre.</w:t>
      </w:r>
      <w:r w:rsidR="000A3EA1" w:rsidRPr="0035351E">
        <w:rPr>
          <w:rFonts w:ascii="Georgia" w:hAnsi="Georgia" w:cs="Times New Roman"/>
          <w:b/>
          <w:bCs/>
          <w:sz w:val="24"/>
          <w:szCs w:val="24"/>
        </w:rPr>
        <w:t xml:space="preserve"> </w:t>
      </w:r>
    </w:p>
    <w:p w14:paraId="24C4BBC5" w14:textId="77D11D43" w:rsidR="00EE64F8" w:rsidRPr="007E723C" w:rsidRDefault="000A3EA1" w:rsidP="00CC2B89">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A hagyományos számviteli rendszerekhez hasonlóan itt is beszélhetünk a belső, illetve a külső érintetteknek szóló információkról. A külső érdekeltek, mint például a lakosság is olyan fenntarthat</w:t>
      </w:r>
      <w:r w:rsidR="00757477" w:rsidRPr="007E723C">
        <w:rPr>
          <w:rFonts w:ascii="Georgia" w:hAnsi="Georgia" w:cs="Times New Roman"/>
          <w:sz w:val="24"/>
          <w:szCs w:val="24"/>
        </w:rPr>
        <w:t>ósá</w:t>
      </w:r>
      <w:r w:rsidRPr="007E723C">
        <w:rPr>
          <w:rFonts w:ascii="Georgia" w:hAnsi="Georgia" w:cs="Times New Roman"/>
          <w:sz w:val="24"/>
          <w:szCs w:val="24"/>
        </w:rPr>
        <w:t>gi információkra kíváncsi</w:t>
      </w:r>
      <w:r w:rsidR="00757477" w:rsidRPr="007E723C">
        <w:rPr>
          <w:rFonts w:ascii="Georgia" w:hAnsi="Georgia" w:cs="Times New Roman"/>
          <w:sz w:val="24"/>
          <w:szCs w:val="24"/>
        </w:rPr>
        <w:t>, amelyek a társadalmat vagy a természeti környezetet érinti</w:t>
      </w:r>
      <w:r w:rsidR="00EF1FED" w:rsidRPr="007E723C">
        <w:rPr>
          <w:rFonts w:ascii="Georgia" w:hAnsi="Georgia" w:cs="Times New Roman"/>
          <w:sz w:val="24"/>
          <w:szCs w:val="24"/>
        </w:rPr>
        <w:t>k</w:t>
      </w:r>
      <w:r w:rsidR="00757477" w:rsidRPr="007E723C">
        <w:rPr>
          <w:rFonts w:ascii="Georgia" w:hAnsi="Georgia" w:cs="Times New Roman"/>
          <w:sz w:val="24"/>
          <w:szCs w:val="24"/>
        </w:rPr>
        <w:t>, és amelyek alapján akár össze is tudnak hasonlítani különböző vállalatokat. Míg a belső érintettek, mint például a menedzsment a fenntarthatósági számviteli rendszer segítségével követni tudja az esetleges fenntarthatósági célok, akciók teljesülését és azok következményeit, hatásait is</w:t>
      </w:r>
      <w:r w:rsidR="00DD7879" w:rsidRPr="007E723C">
        <w:rPr>
          <w:rFonts w:ascii="Georgia" w:hAnsi="Georgia" w:cs="Times New Roman"/>
          <w:sz w:val="24"/>
          <w:szCs w:val="24"/>
        </w:rPr>
        <w:t xml:space="preserve"> </w:t>
      </w:r>
      <w:r w:rsidR="00DD7879" w:rsidRPr="007E723C">
        <w:rPr>
          <w:rFonts w:ascii="Georgia" w:hAnsi="Georgia" w:cs="Times New Roman"/>
          <w:sz w:val="24"/>
          <w:szCs w:val="24"/>
        </w:rPr>
        <w:fldChar w:fldCharType="begin"/>
      </w:r>
      <w:r w:rsidR="00DD7879" w:rsidRPr="007E723C">
        <w:rPr>
          <w:rFonts w:ascii="Georgia" w:hAnsi="Georgia" w:cs="Times New Roman"/>
          <w:sz w:val="24"/>
          <w:szCs w:val="24"/>
        </w:rPr>
        <w:instrText xml:space="preserve"> ADDIN ZOTERO_ITEM CSL_CITATION {"citationID":"wfHrheni","properties":{"formattedCitation":"(F\\uc0\\u252{}l\\uc0\\u246{}p &amp; H\\uc0\\u243{}di Hern\\uc0\\u225{}di, 2014)","plainCitation":"(Fülöp &amp; Hódi Hernádi, 2014)","noteIndex":0},"citationItems":[{"id":560,"uris":["http://zotero.org/users/9445126/items/ZZ8PSGCK"],"itemData":{"id":560,"type":"article-journal","abstract":"Az utóbbi évtizedben a fenntarthatóság követelményei számos vállalat stratégiájában megjelentek. A gazdasági célok mellett meghatározzák a követendő társadalmi és környezeti szempontokat is. Ugyanakkor számos empirikus vizsgálat azt mutatja, hogy a társadalmi és környezeti teljesítményük csak lassan javul. Ezért megfelelő gazdálkodási módszerek és eszközök alkalmazására van szükség a vállalaton belüli stratégiai döntések és tevékenységek gazdasági, társadalmi és természeti környezeti hatásainak a mérésére. Ennek a tanulmánynak a célja a fenntarthatósági stratégia és a fenntarthatósági számvitel mint kulcsfontosságú sikertényező interakciójának a vizsgálata. A cikk a fenntarthatósági stratégiai menedzsment folyamatából indul ki. Ezután ismerteti a stratégiai teljesítményértékelés új megközelítéseit a hagyományos számvitellel kezdve, a környezeti számvitelen át, a fenntarthatósági számvitelig. Ehhez szorosan kapcsolódik egy vállalati esettanulmány, amely a fenntarthatósági számvitel szerepét és hozzájárulását értékeli a fenntarthatósági stratégia sikeres bevezetése során.","container-title":"Vezetéstudomány / Budapest Management Review","DOI":"10.14267/VEZTUD.2014.04.01","ISSN":"01330179","journalAbbreviation":"Veztud","language":"hu","page":"2-17","source":"DOI.org (Crossref)","title":"A vállalati fenntarthatósági stratégia sikertényezője a fenntarthatósági számvitel","author":[{"family":"Fülöp","given":"Gyula"},{"family":"Hódi Hernádi","given":"Bettina"}],"issued":{"date-parts":[["2014",4]]}}}],"schema":"https://github.com/citation-style-language/schema/raw/master/csl-citation.json"} </w:instrText>
      </w:r>
      <w:r w:rsidR="00DD7879" w:rsidRPr="007E723C">
        <w:rPr>
          <w:rFonts w:ascii="Georgia" w:hAnsi="Georgia" w:cs="Times New Roman"/>
          <w:sz w:val="24"/>
          <w:szCs w:val="24"/>
        </w:rPr>
        <w:fldChar w:fldCharType="separate"/>
      </w:r>
      <w:r w:rsidR="00DD7879" w:rsidRPr="007E723C">
        <w:rPr>
          <w:rFonts w:ascii="Georgia" w:hAnsi="Georgia" w:cs="Times New Roman"/>
          <w:sz w:val="24"/>
          <w:szCs w:val="24"/>
        </w:rPr>
        <w:t>(Fülöp &amp; Hódi Hernádi, 2014)</w:t>
      </w:r>
      <w:r w:rsidR="00DD7879" w:rsidRPr="007E723C">
        <w:rPr>
          <w:rFonts w:ascii="Georgia" w:hAnsi="Georgia" w:cs="Times New Roman"/>
          <w:sz w:val="24"/>
          <w:szCs w:val="24"/>
        </w:rPr>
        <w:fldChar w:fldCharType="end"/>
      </w:r>
      <w:r w:rsidR="00757477" w:rsidRPr="007E723C">
        <w:rPr>
          <w:rFonts w:ascii="Georgia" w:hAnsi="Georgia" w:cs="Times New Roman"/>
          <w:sz w:val="24"/>
          <w:szCs w:val="24"/>
        </w:rPr>
        <w:t>.</w:t>
      </w:r>
    </w:p>
    <w:p w14:paraId="20322198" w14:textId="5F63CE5C" w:rsidR="00F76DF9" w:rsidRPr="007E723C" w:rsidRDefault="00EE64F8" w:rsidP="00CC2B89">
      <w:pPr>
        <w:spacing w:after="0" w:line="360" w:lineRule="auto"/>
        <w:jc w:val="both"/>
        <w:rPr>
          <w:rFonts w:ascii="Georgia" w:hAnsi="Georgia" w:cs="Times New Roman"/>
          <w:sz w:val="24"/>
          <w:szCs w:val="24"/>
        </w:rPr>
      </w:pPr>
      <w:r w:rsidRPr="007E723C">
        <w:rPr>
          <w:rFonts w:ascii="Georgia" w:hAnsi="Georgia" w:cs="Times New Roman"/>
          <w:sz w:val="24"/>
          <w:szCs w:val="24"/>
        </w:rPr>
        <w:t xml:space="preserve">Fontos kiemelni, hogy a fentebb említett vállalkozás folytatásának elve mellett </w:t>
      </w:r>
      <w:r w:rsidR="00EF1FED" w:rsidRPr="007E723C">
        <w:rPr>
          <w:rFonts w:ascii="Georgia" w:hAnsi="Georgia" w:cs="Times New Roman"/>
          <w:sz w:val="24"/>
          <w:szCs w:val="24"/>
        </w:rPr>
        <w:t xml:space="preserve">a fenntarthatóság kérdéskörének megjelenésével </w:t>
      </w:r>
      <w:r w:rsidRPr="007E723C">
        <w:rPr>
          <w:rFonts w:ascii="Georgia" w:hAnsi="Georgia" w:cs="Times New Roman"/>
          <w:sz w:val="24"/>
          <w:szCs w:val="24"/>
        </w:rPr>
        <w:t>egy másik meghatározó számvitel</w:t>
      </w:r>
      <w:r w:rsidR="00EF1FED" w:rsidRPr="007E723C">
        <w:rPr>
          <w:rFonts w:ascii="Georgia" w:hAnsi="Georgia" w:cs="Times New Roman"/>
          <w:sz w:val="24"/>
          <w:szCs w:val="24"/>
        </w:rPr>
        <w:t>i</w:t>
      </w:r>
      <w:r w:rsidRPr="007E723C">
        <w:rPr>
          <w:rFonts w:ascii="Georgia" w:hAnsi="Georgia" w:cs="Times New Roman"/>
          <w:sz w:val="24"/>
          <w:szCs w:val="24"/>
        </w:rPr>
        <w:t xml:space="preserve"> alapelv, a lényegesség elve és új értelmezést nyert. Lamberton </w:t>
      </w:r>
      <w:r w:rsidR="001C0DE1" w:rsidRPr="007E723C">
        <w:rPr>
          <w:rFonts w:ascii="Georgia" w:hAnsi="Georgia" w:cs="Times New Roman"/>
          <w:sz w:val="24"/>
          <w:szCs w:val="24"/>
        </w:rPr>
        <w:fldChar w:fldCharType="begin"/>
      </w:r>
      <w:r w:rsidR="001C0DE1" w:rsidRPr="007E723C">
        <w:rPr>
          <w:rFonts w:ascii="Georgia" w:hAnsi="Georgia" w:cs="Times New Roman"/>
          <w:sz w:val="24"/>
          <w:szCs w:val="24"/>
        </w:rPr>
        <w:instrText xml:space="preserve"> ADDIN ZOTERO_ITEM CSL_CITATION {"citationID":"75BJ95nn","properties":{"formattedCitation":"(2005)","plainCitation":"(2005)","noteIndex":0},"citationItems":[{"id":763,"uris":["http://zotero.org/users/9445126/items/T66WMS3I"],"itemData":{"id":763,"type":"paper-conference","container-title":"Accounting forum","note":"issue: 1","page":"7–26","publisher":"Elsevier","source":"Google Scholar","title":"Sustainability accounting—a brief history and conceptual framework","volume":"29","author":[{"family":"Lamberton","given":"Geoff"}],"issued":{"date-parts":[["2005"]]}},"label":"page","suppress-author":true}],"schema":"https://github.com/citation-style-language/schema/raw/master/csl-citation.json"} </w:instrText>
      </w:r>
      <w:r w:rsidR="001C0DE1" w:rsidRPr="007E723C">
        <w:rPr>
          <w:rFonts w:ascii="Georgia" w:hAnsi="Georgia" w:cs="Times New Roman"/>
          <w:sz w:val="24"/>
          <w:szCs w:val="24"/>
        </w:rPr>
        <w:fldChar w:fldCharType="separate"/>
      </w:r>
      <w:r w:rsidR="001C0DE1" w:rsidRPr="007E723C">
        <w:rPr>
          <w:rFonts w:ascii="Georgia" w:hAnsi="Georgia" w:cs="Times New Roman"/>
          <w:sz w:val="24"/>
          <w:szCs w:val="24"/>
        </w:rPr>
        <w:t>(2005)</w:t>
      </w:r>
      <w:r w:rsidR="001C0DE1" w:rsidRPr="007E723C">
        <w:rPr>
          <w:rFonts w:ascii="Georgia" w:hAnsi="Georgia" w:cs="Times New Roman"/>
          <w:sz w:val="24"/>
          <w:szCs w:val="24"/>
        </w:rPr>
        <w:fldChar w:fldCharType="end"/>
      </w:r>
      <w:r w:rsidRPr="007E723C">
        <w:rPr>
          <w:rFonts w:ascii="Georgia" w:hAnsi="Georgia" w:cs="Times New Roman"/>
          <w:sz w:val="24"/>
          <w:szCs w:val="24"/>
        </w:rPr>
        <w:t xml:space="preserve"> </w:t>
      </w:r>
      <w:r w:rsidRPr="007E723C">
        <w:rPr>
          <w:rFonts w:ascii="Georgia" w:hAnsi="Georgia" w:cs="Times New Roman"/>
          <w:sz w:val="24"/>
          <w:szCs w:val="24"/>
        </w:rPr>
        <w:lastRenderedPageBreak/>
        <w:t>szerint ugyanis léteznek olyan környezeti és szociális hatások, melyeket nem lehet megfelelően rögzíten</w:t>
      </w:r>
      <w:r w:rsidR="00766E5B" w:rsidRPr="007E723C">
        <w:rPr>
          <w:rFonts w:ascii="Georgia" w:hAnsi="Georgia" w:cs="Times New Roman"/>
          <w:sz w:val="24"/>
          <w:szCs w:val="24"/>
        </w:rPr>
        <w:t>i</w:t>
      </w:r>
      <w:r w:rsidR="00757477" w:rsidRPr="007E723C">
        <w:rPr>
          <w:rFonts w:ascii="Georgia" w:hAnsi="Georgia" w:cs="Times New Roman"/>
          <w:sz w:val="24"/>
          <w:szCs w:val="24"/>
        </w:rPr>
        <w:t xml:space="preserve"> </w:t>
      </w:r>
      <w:r w:rsidRPr="007E723C">
        <w:rPr>
          <w:rFonts w:ascii="Georgia" w:hAnsi="Georgia" w:cs="Times New Roman"/>
          <w:sz w:val="24"/>
          <w:szCs w:val="24"/>
        </w:rPr>
        <w:t xml:space="preserve">és megvizsgálni, ezért azokkal kell foglalkozni, amelyek </w:t>
      </w:r>
      <w:r w:rsidR="00766E5B" w:rsidRPr="007E723C">
        <w:rPr>
          <w:rFonts w:ascii="Georgia" w:hAnsi="Georgia" w:cs="Times New Roman"/>
          <w:sz w:val="24"/>
          <w:szCs w:val="24"/>
        </w:rPr>
        <w:t>veszélyt hordoznak magukban, vagy amelyek a stratégia szempontjából lényegesek.</w:t>
      </w:r>
      <w:r w:rsidR="00F76DF9" w:rsidRPr="007E723C">
        <w:rPr>
          <w:rFonts w:ascii="Georgia" w:hAnsi="Georgia" w:cs="Times New Roman"/>
          <w:sz w:val="24"/>
          <w:szCs w:val="24"/>
        </w:rPr>
        <w:t xml:space="preserve"> Emellett érdemes még megemlíteni azt is, hogy a fenntarthatósági számviteli rendszer megköveteli azt is, hogy a vállalat által kínált termékek és szolgáltatások teljes életciklusa alatt végig lehessen követni a társadalomra, illetve a környezetre gyakorolt hatásokat. Továbbá, ahogy a környezeti számvitelnél, úgy itt is követelmény, hogy a teljesítmény pontosabb értékelése érdekében a pénzben kifejezett mennyiségek mellett nem monetáris jellemzőket is használjanak a vállalatok</w:t>
      </w:r>
      <w:r w:rsidR="00DD7879" w:rsidRPr="007E723C">
        <w:rPr>
          <w:rFonts w:ascii="Georgia" w:hAnsi="Georgia" w:cs="Times New Roman"/>
          <w:sz w:val="24"/>
          <w:szCs w:val="24"/>
        </w:rPr>
        <w:t xml:space="preserve"> </w:t>
      </w:r>
      <w:r w:rsidR="00DD7879" w:rsidRPr="007E723C">
        <w:rPr>
          <w:rFonts w:ascii="Georgia" w:hAnsi="Georgia" w:cs="Times New Roman"/>
          <w:sz w:val="24"/>
          <w:szCs w:val="24"/>
        </w:rPr>
        <w:fldChar w:fldCharType="begin"/>
      </w:r>
      <w:r w:rsidR="00DD7879" w:rsidRPr="007E723C">
        <w:rPr>
          <w:rFonts w:ascii="Georgia" w:hAnsi="Georgia" w:cs="Times New Roman"/>
          <w:sz w:val="24"/>
          <w:szCs w:val="24"/>
        </w:rPr>
        <w:instrText xml:space="preserve"> ADDIN ZOTERO_ITEM CSL_CITATION {"citationID":"7bH2WZwt","properties":{"formattedCitation":"(F\\uc0\\u252{}l\\uc0\\u246{}p &amp; H\\uc0\\u243{}di Hern\\uc0\\u225{}di, 2014)","plainCitation":"(Fülöp &amp; Hódi Hernádi, 2014)","noteIndex":0},"citationItems":[{"id":560,"uris":["http://zotero.org/users/9445126/items/ZZ8PSGCK"],"itemData":{"id":560,"type":"article-journal","abstract":"Az utóbbi évtizedben a fenntarthatóság követelményei számos vállalat stratégiájában megjelentek. A gazdasági célok mellett meghatározzák a követendő társadalmi és környezeti szempontokat is. Ugyanakkor számos empirikus vizsgálat azt mutatja, hogy a társadalmi és környezeti teljesítményük csak lassan javul. Ezért megfelelő gazdálkodási módszerek és eszközök alkalmazására van szükség a vállalaton belüli stratégiai döntések és tevékenységek gazdasági, társadalmi és természeti környezeti hatásainak a mérésére. Ennek a tanulmánynak a célja a fenntarthatósági stratégia és a fenntarthatósági számvitel mint kulcsfontosságú sikertényező interakciójának a vizsgálata. A cikk a fenntarthatósági stratégiai menedzsment folyamatából indul ki. Ezután ismerteti a stratégiai teljesítményértékelés új megközelítéseit a hagyományos számvitellel kezdve, a környezeti számvitelen át, a fenntarthatósági számvitelig. Ehhez szorosan kapcsolódik egy vállalati esettanulmány, amely a fenntarthatósági számvitel szerepét és hozzájárulását értékeli a fenntarthatósági stratégia sikeres bevezetése során.","container-title":"Vezetéstudomány / Budapest Management Review","DOI":"10.14267/VEZTUD.2014.04.01","ISSN":"01330179","journalAbbreviation":"Veztud","language":"hu","page":"2-17","source":"DOI.org (Crossref)","title":"A vállalati fenntarthatósági stratégia sikertényezője a fenntarthatósági számvitel","author":[{"family":"Fülöp","given":"Gyula"},{"family":"Hódi Hernádi","given":"Bettina"}],"issued":{"date-parts":[["2014",4]]}}}],"schema":"https://github.com/citation-style-language/schema/raw/master/csl-citation.json"} </w:instrText>
      </w:r>
      <w:r w:rsidR="00DD7879" w:rsidRPr="007E723C">
        <w:rPr>
          <w:rFonts w:ascii="Georgia" w:hAnsi="Georgia" w:cs="Times New Roman"/>
          <w:sz w:val="24"/>
          <w:szCs w:val="24"/>
        </w:rPr>
        <w:fldChar w:fldCharType="separate"/>
      </w:r>
      <w:r w:rsidR="00DD7879" w:rsidRPr="007E723C">
        <w:rPr>
          <w:rFonts w:ascii="Georgia" w:hAnsi="Georgia" w:cs="Times New Roman"/>
          <w:sz w:val="24"/>
          <w:szCs w:val="24"/>
        </w:rPr>
        <w:t>(Fülöp &amp; Hódi Hernádi, 2014)</w:t>
      </w:r>
      <w:r w:rsidR="00DD7879" w:rsidRPr="007E723C">
        <w:rPr>
          <w:rFonts w:ascii="Georgia" w:hAnsi="Georgia" w:cs="Times New Roman"/>
          <w:sz w:val="24"/>
          <w:szCs w:val="24"/>
        </w:rPr>
        <w:fldChar w:fldCharType="end"/>
      </w:r>
      <w:r w:rsidR="00F76DF9" w:rsidRPr="007E723C">
        <w:rPr>
          <w:rFonts w:ascii="Georgia" w:hAnsi="Georgia" w:cs="Times New Roman"/>
          <w:sz w:val="24"/>
          <w:szCs w:val="24"/>
        </w:rPr>
        <w:t xml:space="preserve">. </w:t>
      </w:r>
    </w:p>
    <w:p w14:paraId="64FB623E" w14:textId="5FA920A9" w:rsidR="00870813" w:rsidRPr="007E723C" w:rsidRDefault="00870813" w:rsidP="00935F02">
      <w:pPr>
        <w:spacing w:after="0" w:line="360" w:lineRule="auto"/>
        <w:jc w:val="both"/>
        <w:rPr>
          <w:rFonts w:ascii="Georgia" w:hAnsi="Georgia" w:cs="Times New Roman"/>
          <w:sz w:val="24"/>
          <w:szCs w:val="24"/>
        </w:rPr>
      </w:pPr>
      <w:r w:rsidRPr="007E723C">
        <w:rPr>
          <w:rFonts w:ascii="Georgia" w:hAnsi="Georgia" w:cs="Times New Roman"/>
          <w:sz w:val="24"/>
          <w:szCs w:val="24"/>
        </w:rPr>
        <w:t>Magának a fenntarthatósági számvitelnek a célja tehát, hogy a vállalat mérni tudja a teljesítményét fenntarthatósági szempontból. Ehhez pedig</w:t>
      </w:r>
      <w:r w:rsidR="000E229D" w:rsidRPr="007E723C">
        <w:rPr>
          <w:rFonts w:ascii="Georgia" w:hAnsi="Georgia" w:cs="Times New Roman"/>
          <w:sz w:val="24"/>
          <w:szCs w:val="24"/>
        </w:rPr>
        <w:t>, ahogy azt a későbbi fejezetekben is látni fogjuk,</w:t>
      </w:r>
      <w:r w:rsidRPr="007E723C">
        <w:rPr>
          <w:rFonts w:ascii="Georgia" w:hAnsi="Georgia" w:cs="Times New Roman"/>
          <w:sz w:val="24"/>
          <w:szCs w:val="24"/>
        </w:rPr>
        <w:t xml:space="preserve"> megfelelő adatgyűjtésre, rögzítésre, mérésre és értékelésre van szükség. A menedzsmentnek számos értékelési módszer áll rendelkezésére, amelynek segítségével mérni tudja a</w:t>
      </w:r>
      <w:r w:rsidR="00EF1FED" w:rsidRPr="007E723C">
        <w:rPr>
          <w:rFonts w:ascii="Georgia" w:hAnsi="Georgia" w:cs="Times New Roman"/>
          <w:sz w:val="24"/>
          <w:szCs w:val="24"/>
        </w:rPr>
        <w:t xml:space="preserve"> saját</w:t>
      </w:r>
      <w:r w:rsidRPr="007E723C">
        <w:rPr>
          <w:rFonts w:ascii="Georgia" w:hAnsi="Georgia" w:cs="Times New Roman"/>
          <w:sz w:val="24"/>
          <w:szCs w:val="24"/>
        </w:rPr>
        <w:t xml:space="preserve"> teljesítményét. Ilyen lehet például a Fenntarthatósági Balanced Scorecard,</w:t>
      </w:r>
      <w:r w:rsidR="00251E87" w:rsidRPr="007E723C">
        <w:rPr>
          <w:rFonts w:ascii="Georgia" w:hAnsi="Georgia" w:cs="Times New Roman"/>
          <w:sz w:val="24"/>
          <w:szCs w:val="24"/>
        </w:rPr>
        <w:t xml:space="preserve"> input-output elemzés, értékláncelemzés</w:t>
      </w:r>
      <w:r w:rsidRPr="007E723C">
        <w:rPr>
          <w:rFonts w:ascii="Georgia" w:hAnsi="Georgia" w:cs="Times New Roman"/>
          <w:sz w:val="24"/>
          <w:szCs w:val="24"/>
        </w:rPr>
        <w:t xml:space="preserve"> de tulajdonképpen a későbbiekben bemutatásra kerülő ESG minősítések is ezt a célt szolgálják.</w:t>
      </w:r>
      <w:r w:rsidR="00EF1FED" w:rsidRPr="007E723C">
        <w:rPr>
          <w:rFonts w:ascii="Georgia" w:hAnsi="Georgia" w:cs="Times New Roman"/>
          <w:sz w:val="24"/>
          <w:szCs w:val="24"/>
        </w:rPr>
        <w:t xml:space="preserve"> Fontos azonban kiemelni, hogy a felsorolt első három mérési módszert inkább a belső érintetteknek és menedzsmentnek szól, míg az ESG minősítések inkább a külső érintetteket, főként a befektetőket célozzák meg.</w:t>
      </w:r>
      <w:r w:rsidRPr="007E723C">
        <w:rPr>
          <w:rFonts w:ascii="Georgia" w:hAnsi="Georgia" w:cs="Times New Roman"/>
          <w:sz w:val="24"/>
          <w:szCs w:val="24"/>
        </w:rPr>
        <w:t xml:space="preserve"> </w:t>
      </w:r>
      <w:r w:rsidR="00EF1FED" w:rsidRPr="007E723C">
        <w:rPr>
          <w:rFonts w:ascii="Georgia" w:hAnsi="Georgia" w:cs="Times New Roman"/>
          <w:sz w:val="24"/>
          <w:szCs w:val="24"/>
        </w:rPr>
        <w:t>Így a későbbiekben ezen</w:t>
      </w:r>
      <w:r w:rsidR="000E229D" w:rsidRPr="007E723C">
        <w:rPr>
          <w:rFonts w:ascii="Georgia" w:hAnsi="Georgia" w:cs="Times New Roman"/>
          <w:sz w:val="24"/>
          <w:szCs w:val="24"/>
        </w:rPr>
        <w:t xml:space="preserve"> a mérési eszközök</w:t>
      </w:r>
      <w:r w:rsidR="00EF1FED" w:rsidRPr="007E723C">
        <w:rPr>
          <w:rFonts w:ascii="Georgia" w:hAnsi="Georgia" w:cs="Times New Roman"/>
          <w:sz w:val="24"/>
          <w:szCs w:val="24"/>
        </w:rPr>
        <w:t xml:space="preserve"> közül csupán az ESG minősítésekkel fogunk részletesebben foglalkozni, hiszen d</w:t>
      </w:r>
      <w:r w:rsidR="00FD2CE6" w:rsidRPr="007E723C">
        <w:rPr>
          <w:rFonts w:ascii="Georgia" w:hAnsi="Georgia" w:cs="Times New Roman"/>
          <w:sz w:val="24"/>
          <w:szCs w:val="24"/>
        </w:rPr>
        <w:t>olgozatom fő fókuszában is ez áll, kutatás</w:t>
      </w:r>
      <w:r w:rsidR="00DB529F">
        <w:rPr>
          <w:rFonts w:ascii="Georgia" w:hAnsi="Georgia" w:cs="Times New Roman"/>
          <w:sz w:val="24"/>
          <w:szCs w:val="24"/>
        </w:rPr>
        <w:t>unk</w:t>
      </w:r>
      <w:r w:rsidR="00FD2CE6" w:rsidRPr="007E723C">
        <w:rPr>
          <w:rFonts w:ascii="Georgia" w:hAnsi="Georgia" w:cs="Times New Roman"/>
          <w:sz w:val="24"/>
          <w:szCs w:val="24"/>
        </w:rPr>
        <w:t xml:space="preserve"> is ezeknek az értékeléseknek a megbízhatóságára terjed ki</w:t>
      </w:r>
      <w:r w:rsidR="00960F77">
        <w:rPr>
          <w:rFonts w:ascii="Georgia" w:hAnsi="Georgia" w:cs="Times New Roman"/>
          <w:sz w:val="24"/>
          <w:szCs w:val="24"/>
        </w:rPr>
        <w:t>.</w:t>
      </w:r>
    </w:p>
    <w:p w14:paraId="79388C0A" w14:textId="781CCE03" w:rsidR="00A04DE3" w:rsidRPr="007E723C" w:rsidRDefault="00021707" w:rsidP="00F76DF9">
      <w:pPr>
        <w:spacing w:line="360" w:lineRule="auto"/>
        <w:jc w:val="both"/>
        <w:rPr>
          <w:rFonts w:ascii="Georgia" w:hAnsi="Georgia" w:cs="Times New Roman"/>
          <w:sz w:val="24"/>
          <w:szCs w:val="24"/>
        </w:rPr>
      </w:pPr>
      <w:r w:rsidRPr="007E723C">
        <w:rPr>
          <w:rFonts w:ascii="Georgia" w:hAnsi="Georgia" w:cs="Times New Roman"/>
          <w:sz w:val="24"/>
          <w:szCs w:val="24"/>
        </w:rPr>
        <w:t>A mérést követően pedig már csak egy kérdés maradt,</w:t>
      </w:r>
      <w:r w:rsidR="00FD2CE6" w:rsidRPr="007E723C">
        <w:rPr>
          <w:rFonts w:ascii="Georgia" w:hAnsi="Georgia" w:cs="Times New Roman"/>
          <w:sz w:val="24"/>
          <w:szCs w:val="24"/>
        </w:rPr>
        <w:t xml:space="preserve"> mégpedig az, hogy</w:t>
      </w:r>
      <w:r w:rsidRPr="007E723C">
        <w:rPr>
          <w:rFonts w:ascii="Georgia" w:hAnsi="Georgia" w:cs="Times New Roman"/>
          <w:sz w:val="24"/>
          <w:szCs w:val="24"/>
        </w:rPr>
        <w:t xml:space="preserve"> milyen tartalmú és formájú jelentést kell készíteni a fenntarthatósági teljesítményről, illetve milyen gyakran szükséges azt </w:t>
      </w:r>
      <w:r w:rsidR="00935F02" w:rsidRPr="007E723C">
        <w:rPr>
          <w:rFonts w:ascii="Georgia" w:hAnsi="Georgia" w:cs="Times New Roman"/>
          <w:sz w:val="24"/>
          <w:szCs w:val="24"/>
        </w:rPr>
        <w:t>közzétenni</w:t>
      </w:r>
      <w:r w:rsidR="00FD2CE6" w:rsidRPr="007E723C">
        <w:rPr>
          <w:rFonts w:ascii="Georgia" w:hAnsi="Georgia" w:cs="Times New Roman"/>
          <w:sz w:val="24"/>
          <w:szCs w:val="24"/>
        </w:rPr>
        <w:t>.</w:t>
      </w:r>
      <w:r w:rsidR="00D411E1" w:rsidRPr="007E723C">
        <w:rPr>
          <w:rFonts w:ascii="Georgia" w:hAnsi="Georgia" w:cs="Times New Roman"/>
          <w:sz w:val="24"/>
          <w:szCs w:val="24"/>
        </w:rPr>
        <w:t xml:space="preserve"> A fenntarthatósági számviteli információkat a Globális Jelentéstételi Kezdeményezés (Global Reporting Initiative, GRI) ajánlása szerint fenntarthatósági jelentés formájában, a termékek életciklusához igazodva rendszeresen kell az érintettek számára elérhetővé tenni. A benne szereplő információknak</w:t>
      </w:r>
      <w:r w:rsidR="00A04DE3" w:rsidRPr="007E723C">
        <w:rPr>
          <w:rFonts w:ascii="Georgia" w:hAnsi="Georgia" w:cs="Times New Roman"/>
          <w:sz w:val="24"/>
          <w:szCs w:val="24"/>
        </w:rPr>
        <w:t xml:space="preserve"> pedig</w:t>
      </w:r>
      <w:r w:rsidR="00D411E1" w:rsidRPr="007E723C">
        <w:rPr>
          <w:rFonts w:ascii="Georgia" w:hAnsi="Georgia" w:cs="Times New Roman"/>
          <w:sz w:val="24"/>
          <w:szCs w:val="24"/>
        </w:rPr>
        <w:t xml:space="preserve"> </w:t>
      </w:r>
      <w:r w:rsidR="00A04DE3" w:rsidRPr="007E723C">
        <w:rPr>
          <w:rFonts w:ascii="Georgia" w:hAnsi="Georgia" w:cs="Times New Roman"/>
          <w:sz w:val="24"/>
          <w:szCs w:val="24"/>
        </w:rPr>
        <w:t>átláthatónak és ellenőrizhetőnek kell lenniük</w:t>
      </w:r>
      <w:r w:rsidR="00960F77">
        <w:rPr>
          <w:rFonts w:ascii="Georgia" w:hAnsi="Georgia" w:cs="Times New Roman"/>
          <w:sz w:val="24"/>
          <w:szCs w:val="24"/>
        </w:rPr>
        <w:t>.</w:t>
      </w:r>
      <w:r w:rsidR="00960F77" w:rsidRPr="007E723C" w:rsidDel="00960F77">
        <w:rPr>
          <w:rFonts w:ascii="Georgia" w:hAnsi="Georgia" w:cs="Times New Roman"/>
          <w:sz w:val="24"/>
          <w:szCs w:val="24"/>
        </w:rPr>
        <w:t xml:space="preserve"> </w:t>
      </w:r>
    </w:p>
    <w:p w14:paraId="52C72038" w14:textId="0363FB52" w:rsidR="00251E87" w:rsidRPr="007E723C" w:rsidRDefault="003A22ED" w:rsidP="00F76DF9">
      <w:pPr>
        <w:spacing w:line="360" w:lineRule="auto"/>
        <w:jc w:val="both"/>
        <w:rPr>
          <w:rFonts w:ascii="Georgia" w:hAnsi="Georgia" w:cs="Times New Roman"/>
          <w:noProof/>
          <w:sz w:val="24"/>
          <w:szCs w:val="24"/>
        </w:rPr>
      </w:pPr>
      <w:r w:rsidRPr="007E723C">
        <w:rPr>
          <w:rFonts w:ascii="Georgia" w:hAnsi="Georgia" w:cs="Times New Roman"/>
          <w:sz w:val="24"/>
          <w:szCs w:val="24"/>
        </w:rPr>
        <w:tab/>
      </w:r>
      <w:r w:rsidR="00647F0B" w:rsidRPr="007E723C">
        <w:rPr>
          <w:rFonts w:ascii="Georgia" w:hAnsi="Georgia" w:cs="Times New Roman"/>
          <w:sz w:val="24"/>
          <w:szCs w:val="24"/>
        </w:rPr>
        <w:t xml:space="preserve">A fent leírtakból is jól látszik, hogy a fenntarthatóság megjelenése a vállalatok életében számos változást hozott. A szakirodalomban fellelhető </w:t>
      </w:r>
      <w:r w:rsidR="00647F0B" w:rsidRPr="007E723C">
        <w:rPr>
          <w:rFonts w:ascii="Georgia" w:hAnsi="Georgia" w:cs="Times New Roman"/>
          <w:sz w:val="24"/>
          <w:szCs w:val="24"/>
        </w:rPr>
        <w:lastRenderedPageBreak/>
        <w:t xml:space="preserve">vállalati társadalmi fenntarthatóságra vonatkozó fogalmi meghatározások sokszínűsége arra enged következtetni, hogy más-más vállalatok számára eltérő értelme van ennek a kifejezésnek és ezáltal eltérő szinten is építik bele mindennapi működésükbe ezt a szemléletet. A stratégiai alkalmazás pedig megköveteli, hogy a vállalatok információs rendszere is kövesse a változásokat és a fenntarthatósági számvitel által kínált eszközrendszer segítségével a vállalatok folyamatosan nyomon kövessék saját fenntarthatósági teljesítményüket. </w:t>
      </w:r>
      <w:r w:rsidR="00A04DE3" w:rsidRPr="007E723C">
        <w:rPr>
          <w:rFonts w:ascii="Georgia" w:hAnsi="Georgia" w:cs="Times New Roman"/>
          <w:sz w:val="24"/>
          <w:szCs w:val="24"/>
        </w:rPr>
        <w:t xml:space="preserve"> </w:t>
      </w:r>
    </w:p>
    <w:p w14:paraId="26034C89" w14:textId="3CE1CAAA" w:rsidR="00EB7194" w:rsidRPr="007E723C" w:rsidRDefault="00EB7194" w:rsidP="00FF7AC9">
      <w:pPr>
        <w:pStyle w:val="Cmsor2"/>
        <w:numPr>
          <w:ilvl w:val="1"/>
          <w:numId w:val="3"/>
        </w:numPr>
        <w:spacing w:after="160"/>
        <w:ind w:left="1134" w:hanging="578"/>
        <w:rPr>
          <w:rFonts w:ascii="Georgia" w:hAnsi="Georgia" w:cs="Times New Roman"/>
          <w:b/>
          <w:bCs/>
          <w:color w:val="auto"/>
          <w:sz w:val="24"/>
          <w:szCs w:val="24"/>
        </w:rPr>
      </w:pPr>
      <w:bookmarkStart w:id="9" w:name="_Toc119421168"/>
      <w:r w:rsidRPr="007E723C">
        <w:rPr>
          <w:rFonts w:ascii="Georgia" w:hAnsi="Georgia" w:cs="Times New Roman"/>
          <w:b/>
          <w:bCs/>
          <w:color w:val="auto"/>
          <w:sz w:val="24"/>
          <w:szCs w:val="24"/>
        </w:rPr>
        <w:t>Fenntarthatóság a befektet</w:t>
      </w:r>
      <w:r w:rsidR="002412C0" w:rsidRPr="007E723C">
        <w:rPr>
          <w:rFonts w:ascii="Georgia" w:hAnsi="Georgia" w:cs="Times New Roman"/>
          <w:b/>
          <w:bCs/>
          <w:color w:val="auto"/>
          <w:sz w:val="24"/>
          <w:szCs w:val="24"/>
        </w:rPr>
        <w:t>ői oldalon</w:t>
      </w:r>
      <w:bookmarkEnd w:id="9"/>
      <w:r w:rsidR="000D2CD5" w:rsidRPr="007E723C">
        <w:rPr>
          <w:rFonts w:ascii="Georgia" w:hAnsi="Georgia" w:cs="Times New Roman"/>
          <w:b/>
          <w:bCs/>
          <w:color w:val="auto"/>
          <w:sz w:val="24"/>
          <w:szCs w:val="24"/>
        </w:rPr>
        <w:t xml:space="preserve"> </w:t>
      </w:r>
    </w:p>
    <w:p w14:paraId="6E93D96E" w14:textId="3C9E8893" w:rsidR="004300BE" w:rsidRPr="007E723C" w:rsidRDefault="004300BE" w:rsidP="002412C0">
      <w:pPr>
        <w:spacing w:line="360" w:lineRule="auto"/>
        <w:ind w:firstLine="709"/>
        <w:jc w:val="both"/>
        <w:rPr>
          <w:rFonts w:ascii="Georgia" w:hAnsi="Georgia" w:cs="Times New Roman"/>
          <w:sz w:val="24"/>
          <w:szCs w:val="24"/>
        </w:rPr>
      </w:pPr>
      <w:r w:rsidRPr="007E723C">
        <w:rPr>
          <w:rFonts w:ascii="Georgia" w:hAnsi="Georgia" w:cs="Times New Roman"/>
          <w:sz w:val="24"/>
          <w:szCs w:val="24"/>
        </w:rPr>
        <w:t>Most, miután áttekintettük, hogy a vállalatelméletek hogyan fejlődtek és mozdultak el a felelős vállalatok irányába, illetve megismerkedtünk a vállalati társadalmi felelősségvállalás lehetséges megközelítéseivel és láttuk azt is, hogy a vállalatok létéről alkotott felfogásmód változása mellett az információs és adatszolgáltatási rendszerek fejlesztésére is szükség van</w:t>
      </w:r>
      <w:r w:rsidR="00CE0CC7" w:rsidRPr="007E723C">
        <w:rPr>
          <w:rFonts w:ascii="Georgia" w:hAnsi="Georgia" w:cs="Times New Roman"/>
          <w:sz w:val="24"/>
          <w:szCs w:val="24"/>
        </w:rPr>
        <w:t xml:space="preserve"> ahhoz, hogy a vállalatok lépést tudjanak tartani a fenntarthatóság egyre jelentősebb térnyerésével</w:t>
      </w:r>
      <w:r w:rsidRPr="007E723C">
        <w:rPr>
          <w:rFonts w:ascii="Georgia" w:hAnsi="Georgia" w:cs="Times New Roman"/>
          <w:sz w:val="24"/>
          <w:szCs w:val="24"/>
        </w:rPr>
        <w:t>, érdemes megvizsgálni azt is, hogy a befektetők szemében, illetve a befektetések terén hogyan jelenik meg és milyen hatásokat vált ki a fenntarthatóság üzleti életben való megjelenése.</w:t>
      </w:r>
    </w:p>
    <w:p w14:paraId="01514B6B" w14:textId="02D54A19" w:rsidR="00DA1476" w:rsidRPr="007E723C" w:rsidRDefault="00FB1567" w:rsidP="002F5EDA">
      <w:pPr>
        <w:spacing w:line="360" w:lineRule="auto"/>
        <w:ind w:firstLine="709"/>
        <w:jc w:val="both"/>
        <w:rPr>
          <w:rFonts w:ascii="Georgia" w:hAnsi="Georgia" w:cs="Times New Roman"/>
          <w:sz w:val="24"/>
          <w:szCs w:val="24"/>
        </w:rPr>
      </w:pPr>
      <w:r w:rsidRPr="007E723C">
        <w:rPr>
          <w:rFonts w:ascii="Georgia" w:hAnsi="Georgia" w:cs="Times New Roman"/>
          <w:sz w:val="24"/>
          <w:szCs w:val="24"/>
        </w:rPr>
        <w:t>A fenntarthatóság kérdése nem csak a vállalati oldalon jelenik meg, hanem egyre inkább foglalkoztatja a befektetőket is</w:t>
      </w:r>
      <w:r w:rsidR="00CE0CC7" w:rsidRPr="007E723C">
        <w:rPr>
          <w:rFonts w:ascii="Georgia" w:hAnsi="Georgia" w:cs="Times New Roman"/>
          <w:sz w:val="24"/>
          <w:szCs w:val="24"/>
        </w:rPr>
        <w:t>, hiszen az általuk meghozott finanszírozási döntéseket is befolyásolja ez a változás</w:t>
      </w:r>
      <w:r w:rsidR="00DA1476" w:rsidRPr="007E723C">
        <w:rPr>
          <w:rFonts w:ascii="Georgia" w:hAnsi="Georgia" w:cs="Times New Roman"/>
          <w:sz w:val="24"/>
          <w:szCs w:val="24"/>
        </w:rPr>
        <w:t>. Ezeket fenntarthatóságot is figyelembe vevő befektetéseket a szakirodalomban számos jelzővel illetik, mint például felelős, társadalmilag felelős</w:t>
      </w:r>
      <w:r w:rsidR="00ED1209" w:rsidRPr="007E723C">
        <w:rPr>
          <w:rFonts w:ascii="Georgia" w:hAnsi="Georgia" w:cs="Times New Roman"/>
          <w:sz w:val="24"/>
          <w:szCs w:val="24"/>
        </w:rPr>
        <w:t xml:space="preserve"> (SRI)</w:t>
      </w:r>
      <w:r w:rsidR="00DA1476" w:rsidRPr="007E723C">
        <w:rPr>
          <w:rFonts w:ascii="Georgia" w:hAnsi="Georgia" w:cs="Times New Roman"/>
          <w:sz w:val="24"/>
          <w:szCs w:val="24"/>
        </w:rPr>
        <w:t>, etikus, zöld vagy hatásbefektetések. A Globális Fenntartható Befektetések Szövetsége</w:t>
      </w:r>
      <w:r w:rsidR="00ED1209" w:rsidRPr="007E723C">
        <w:rPr>
          <w:rFonts w:ascii="Georgia" w:hAnsi="Georgia" w:cs="Times New Roman"/>
          <w:sz w:val="24"/>
          <w:szCs w:val="24"/>
        </w:rPr>
        <w:t xml:space="preserve"> (GSIA)</w:t>
      </w:r>
      <w:r w:rsidR="00DA1476" w:rsidRPr="007E723C">
        <w:rPr>
          <w:rFonts w:ascii="Georgia" w:hAnsi="Georgia" w:cs="Times New Roman"/>
          <w:sz w:val="24"/>
          <w:szCs w:val="24"/>
        </w:rPr>
        <w:t xml:space="preserve"> azonban 2012-ben kiadott egy jelentést, melyben a fenntartható és felelős befektetéseket úgy definiálta, mint egy olyan befektetési döntéshozatal, amely a várható </w:t>
      </w:r>
      <w:r w:rsidR="00ED1209" w:rsidRPr="007E723C">
        <w:rPr>
          <w:rFonts w:ascii="Georgia" w:hAnsi="Georgia" w:cs="Times New Roman"/>
          <w:sz w:val="24"/>
          <w:szCs w:val="24"/>
        </w:rPr>
        <w:t>megtérülés, hozamok és más szokványos pénzügyi hasznok mellett a fenntarthatósághoz kapcsolódó környezeti és társadalmi tényezőket is mérlegel</w:t>
      </w:r>
      <w:r w:rsidR="001C0DE1" w:rsidRPr="007E723C">
        <w:rPr>
          <w:rFonts w:ascii="Georgia" w:hAnsi="Georgia" w:cs="Times New Roman"/>
          <w:sz w:val="24"/>
          <w:szCs w:val="24"/>
        </w:rPr>
        <w:t xml:space="preserve"> </w:t>
      </w:r>
      <w:r w:rsidR="001C0DE1" w:rsidRPr="007E723C">
        <w:rPr>
          <w:rFonts w:ascii="Georgia" w:hAnsi="Georgia" w:cs="Times New Roman"/>
          <w:sz w:val="24"/>
          <w:szCs w:val="24"/>
        </w:rPr>
        <w:fldChar w:fldCharType="begin"/>
      </w:r>
      <w:r w:rsidR="001C0DE1" w:rsidRPr="007E723C">
        <w:rPr>
          <w:rFonts w:ascii="Georgia" w:hAnsi="Georgia" w:cs="Times New Roman"/>
          <w:sz w:val="24"/>
          <w:szCs w:val="24"/>
        </w:rPr>
        <w:instrText xml:space="preserve"> ADDIN ZOTERO_ITEM CSL_CITATION {"citationID":"CW2dWxLF","properties":{"formattedCitation":"(GSIA, 2012)","plainCitation":"(GSIA, 2012)","noteIndex":0},"citationItems":[{"id":766,"uris":["http://zotero.org/users/9445126/items/CRKX685N"],"itemData":{"id":766,"type":"document","title":"Global Sustainable Investment Review","URL":"http://gsiareview2012.gsi-alliance.org/pubData/source/Global%20Sustainable%20Investement%20Alliance.pdf","author":[{"family":"GSIA","given":""}],"issued":{"date-parts":[["2012"]]}}}],"schema":"https://github.com/citation-style-language/schema/raw/master/csl-citation.json"} </w:instrText>
      </w:r>
      <w:r w:rsidR="001C0DE1" w:rsidRPr="007E723C">
        <w:rPr>
          <w:rFonts w:ascii="Georgia" w:hAnsi="Georgia" w:cs="Times New Roman"/>
          <w:sz w:val="24"/>
          <w:szCs w:val="24"/>
        </w:rPr>
        <w:fldChar w:fldCharType="separate"/>
      </w:r>
      <w:r w:rsidR="001C0DE1" w:rsidRPr="007E723C">
        <w:rPr>
          <w:rFonts w:ascii="Georgia" w:hAnsi="Georgia" w:cs="Times New Roman"/>
          <w:sz w:val="24"/>
          <w:szCs w:val="24"/>
        </w:rPr>
        <w:t>(GSIA, 2012)</w:t>
      </w:r>
      <w:r w:rsidR="001C0DE1" w:rsidRPr="007E723C">
        <w:rPr>
          <w:rFonts w:ascii="Georgia" w:hAnsi="Georgia" w:cs="Times New Roman"/>
          <w:sz w:val="24"/>
          <w:szCs w:val="24"/>
        </w:rPr>
        <w:fldChar w:fldCharType="end"/>
      </w:r>
      <w:r w:rsidR="00ED1209" w:rsidRPr="007E723C">
        <w:rPr>
          <w:rFonts w:ascii="Georgia" w:hAnsi="Georgia" w:cs="Times New Roman"/>
          <w:sz w:val="24"/>
          <w:szCs w:val="24"/>
        </w:rPr>
        <w:t xml:space="preserve">. </w:t>
      </w:r>
      <w:r w:rsidR="00626BBD" w:rsidRPr="007E723C">
        <w:rPr>
          <w:rFonts w:ascii="Georgia" w:hAnsi="Georgia" w:cs="Times New Roman"/>
          <w:sz w:val="24"/>
          <w:szCs w:val="24"/>
        </w:rPr>
        <w:t>Ehhez teljesen hasonlóan határozza meg az SRI befektetések fogalmát az E</w:t>
      </w:r>
      <w:r w:rsidR="00523997" w:rsidRPr="007E723C">
        <w:rPr>
          <w:rFonts w:ascii="Georgia" w:hAnsi="Georgia" w:cs="Times New Roman"/>
          <w:sz w:val="24"/>
          <w:szCs w:val="24"/>
        </w:rPr>
        <w:t>UROSIF</w:t>
      </w:r>
      <w:r w:rsidR="00626BBD" w:rsidRPr="007E723C">
        <w:rPr>
          <w:rFonts w:ascii="Georgia" w:hAnsi="Georgia" w:cs="Times New Roman"/>
          <w:sz w:val="24"/>
          <w:szCs w:val="24"/>
        </w:rPr>
        <w:t xml:space="preserve"> (Európai Szociális Befektetési Fórum), illetve a US SIF (az Egyesült Államok Szociális Befek</w:t>
      </w:r>
      <w:r w:rsidR="00523997" w:rsidRPr="007E723C">
        <w:rPr>
          <w:rFonts w:ascii="Georgia" w:hAnsi="Georgia" w:cs="Times New Roman"/>
          <w:sz w:val="24"/>
          <w:szCs w:val="24"/>
        </w:rPr>
        <w:t>t</w:t>
      </w:r>
      <w:r w:rsidR="00626BBD" w:rsidRPr="007E723C">
        <w:rPr>
          <w:rFonts w:ascii="Georgia" w:hAnsi="Georgia" w:cs="Times New Roman"/>
          <w:sz w:val="24"/>
          <w:szCs w:val="24"/>
        </w:rPr>
        <w:t>etési Fóruma)</w:t>
      </w:r>
      <w:r w:rsidR="00523997" w:rsidRPr="007E723C">
        <w:rPr>
          <w:rFonts w:ascii="Georgia" w:hAnsi="Georgia" w:cs="Times New Roman"/>
          <w:sz w:val="24"/>
          <w:szCs w:val="24"/>
        </w:rPr>
        <w:t>,</w:t>
      </w:r>
      <w:r w:rsidR="00626BBD" w:rsidRPr="007E723C">
        <w:rPr>
          <w:rFonts w:ascii="Georgia" w:hAnsi="Georgia" w:cs="Times New Roman"/>
          <w:sz w:val="24"/>
          <w:szCs w:val="24"/>
        </w:rPr>
        <w:t xml:space="preserve"> is, vagyis definíciójuk fókuszában a környezeti, társadalmi és </w:t>
      </w:r>
      <w:r w:rsidR="00CE0CC7" w:rsidRPr="007E723C">
        <w:rPr>
          <w:rFonts w:ascii="Georgia" w:hAnsi="Georgia" w:cs="Times New Roman"/>
          <w:sz w:val="24"/>
          <w:szCs w:val="24"/>
        </w:rPr>
        <w:t>vállalat</w:t>
      </w:r>
      <w:r w:rsidR="00626BBD" w:rsidRPr="007E723C">
        <w:rPr>
          <w:rFonts w:ascii="Georgia" w:hAnsi="Georgia" w:cs="Times New Roman"/>
          <w:sz w:val="24"/>
          <w:szCs w:val="24"/>
        </w:rPr>
        <w:t>irányítási szempontok figyelembevétele áll, ami tulajdonképpen a későbbiekben bemutatásra kerül</w:t>
      </w:r>
      <w:r w:rsidR="00DA4E02" w:rsidRPr="007E723C">
        <w:rPr>
          <w:rFonts w:ascii="Georgia" w:hAnsi="Georgia" w:cs="Times New Roman"/>
          <w:sz w:val="24"/>
          <w:szCs w:val="24"/>
        </w:rPr>
        <w:t>ő</w:t>
      </w:r>
      <w:r w:rsidR="00626BBD" w:rsidRPr="007E723C">
        <w:rPr>
          <w:rFonts w:ascii="Georgia" w:hAnsi="Georgia" w:cs="Times New Roman"/>
          <w:sz w:val="24"/>
          <w:szCs w:val="24"/>
        </w:rPr>
        <w:t xml:space="preserve"> és jelen dolgozat fő fókuszában álló ESG szempontrendszert jelenti. Mivel ezek a fogalmi meghatározások az összes </w:t>
      </w:r>
      <w:r w:rsidR="00626BBD" w:rsidRPr="007E723C">
        <w:rPr>
          <w:rFonts w:ascii="Georgia" w:hAnsi="Georgia" w:cs="Times New Roman"/>
          <w:sz w:val="24"/>
          <w:szCs w:val="24"/>
        </w:rPr>
        <w:lastRenderedPageBreak/>
        <w:t>fentebb említett jelzőt magában foglalják, így ezeket a továbbiak egymás szinonimáiként fogom használni.</w:t>
      </w:r>
    </w:p>
    <w:p w14:paraId="78A210EA" w14:textId="443FC5C9" w:rsidR="00986337" w:rsidRPr="007E723C" w:rsidRDefault="00986337" w:rsidP="00FF7AC9">
      <w:pPr>
        <w:pStyle w:val="Cmsor3"/>
        <w:numPr>
          <w:ilvl w:val="2"/>
          <w:numId w:val="3"/>
        </w:numPr>
        <w:spacing w:after="160"/>
        <w:ind w:left="1701"/>
        <w:rPr>
          <w:rFonts w:ascii="Georgia" w:hAnsi="Georgia" w:cs="Times New Roman"/>
          <w:b/>
          <w:bCs/>
          <w:color w:val="auto"/>
        </w:rPr>
      </w:pPr>
      <w:bookmarkStart w:id="10" w:name="_Toc119421169"/>
      <w:r w:rsidRPr="007E723C">
        <w:rPr>
          <w:rFonts w:ascii="Georgia" w:hAnsi="Georgia" w:cs="Times New Roman"/>
          <w:b/>
          <w:bCs/>
          <w:color w:val="auto"/>
        </w:rPr>
        <w:t>Az SRI-től az ESG-ig</w:t>
      </w:r>
      <w:bookmarkEnd w:id="10"/>
      <w:r w:rsidRPr="007E723C">
        <w:rPr>
          <w:rFonts w:ascii="Georgia" w:hAnsi="Georgia" w:cs="Times New Roman"/>
          <w:b/>
          <w:bCs/>
          <w:color w:val="auto"/>
        </w:rPr>
        <w:t xml:space="preserve"> </w:t>
      </w:r>
    </w:p>
    <w:p w14:paraId="7D6AADA1" w14:textId="041845C6" w:rsidR="00986337" w:rsidRPr="007E723C" w:rsidRDefault="00FF6A4B" w:rsidP="00045351">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felelős befektetés gyökerei egészen az amerikai gyarmatosítás idejére nyúl</w:t>
      </w:r>
      <w:r w:rsidR="00960F77">
        <w:rPr>
          <w:rFonts w:ascii="Georgia" w:hAnsi="Georgia" w:cs="Times New Roman"/>
          <w:sz w:val="24"/>
          <w:szCs w:val="24"/>
        </w:rPr>
        <w:t>na</w:t>
      </w:r>
      <w:r w:rsidRPr="007E723C">
        <w:rPr>
          <w:rFonts w:ascii="Georgia" w:hAnsi="Georgia" w:cs="Times New Roman"/>
          <w:sz w:val="24"/>
          <w:szCs w:val="24"/>
        </w:rPr>
        <w:t>k vissza, amikor bizonyos vallási csoportok nem voltak hajlandóak adományaikat a rabszolga kereskedelembe invesztálni. De az SRI, mint sajátos befektetési filozófia csupán a 20. században kezdte el igazán kinőni magát, amikor egy befektetési alap (Pioneer Group) tevékenységéből kiszűrte azokat a vállalatokat, amelyek dohánnyal</w:t>
      </w:r>
      <w:r w:rsidR="00CE0CC7" w:rsidRPr="007E723C">
        <w:rPr>
          <w:rFonts w:ascii="Georgia" w:hAnsi="Georgia" w:cs="Times New Roman"/>
          <w:sz w:val="24"/>
          <w:szCs w:val="24"/>
        </w:rPr>
        <w:t xml:space="preserve"> és</w:t>
      </w:r>
      <w:r w:rsidRPr="007E723C">
        <w:rPr>
          <w:rFonts w:ascii="Georgia" w:hAnsi="Georgia" w:cs="Times New Roman"/>
          <w:sz w:val="24"/>
          <w:szCs w:val="24"/>
        </w:rPr>
        <w:t xml:space="preserve"> alkohollal </w:t>
      </w:r>
      <w:r w:rsidR="00CE0CC7" w:rsidRPr="007E723C">
        <w:rPr>
          <w:rFonts w:ascii="Georgia" w:hAnsi="Georgia" w:cs="Times New Roman"/>
          <w:sz w:val="24"/>
          <w:szCs w:val="24"/>
        </w:rPr>
        <w:t xml:space="preserve">kereskednek </w:t>
      </w:r>
      <w:r w:rsidRPr="007E723C">
        <w:rPr>
          <w:rFonts w:ascii="Georgia" w:hAnsi="Georgia" w:cs="Times New Roman"/>
          <w:sz w:val="24"/>
          <w:szCs w:val="24"/>
        </w:rPr>
        <w:t xml:space="preserve">vagy szerencsejátékkal foglalkoznak. </w:t>
      </w:r>
      <w:r w:rsidR="008D0628" w:rsidRPr="007E723C">
        <w:rPr>
          <w:rFonts w:ascii="Georgia" w:hAnsi="Georgia" w:cs="Times New Roman"/>
          <w:sz w:val="24"/>
          <w:szCs w:val="24"/>
        </w:rPr>
        <w:t xml:space="preserve">A 60-as évek táján pedig az emberi jogokkal, a környezetvédelemmel és a háborúellenességgel kapcsolatos mozgalmak hatására egyre inkább elterjedté vált ez a befektetési nézet. A 70-es évektől kezdődően a környezettudatosság odáig erősödött, hogy a 90-es években már közel 60 SRI befektetési alap működött, a kezelt SRI vagyon pedig körülbelül 640 milliárd dollárt tett ki. A 21. században a klímaváltozás, a vállalati botrányok és a humanitárius válságok új aggodalmakként merültek fel, ezért </w:t>
      </w:r>
      <w:r w:rsidR="00694E09" w:rsidRPr="007E723C">
        <w:rPr>
          <w:rFonts w:ascii="Georgia" w:hAnsi="Georgia" w:cs="Times New Roman"/>
          <w:sz w:val="24"/>
          <w:szCs w:val="24"/>
        </w:rPr>
        <w:t>az utóbbi években</w:t>
      </w:r>
      <w:r w:rsidR="008D0628" w:rsidRPr="007E723C">
        <w:rPr>
          <w:rFonts w:ascii="Georgia" w:hAnsi="Georgia" w:cs="Times New Roman"/>
          <w:sz w:val="24"/>
          <w:szCs w:val="24"/>
        </w:rPr>
        <w:t xml:space="preserve"> SRI-t egyre gyakrabban kapcsol</w:t>
      </w:r>
      <w:r w:rsidR="00694E09" w:rsidRPr="007E723C">
        <w:rPr>
          <w:rFonts w:ascii="Georgia" w:hAnsi="Georgia" w:cs="Times New Roman"/>
          <w:sz w:val="24"/>
          <w:szCs w:val="24"/>
        </w:rPr>
        <w:t>t</w:t>
      </w:r>
      <w:r w:rsidR="008D0628" w:rsidRPr="007E723C">
        <w:rPr>
          <w:rFonts w:ascii="Georgia" w:hAnsi="Georgia" w:cs="Times New Roman"/>
          <w:sz w:val="24"/>
          <w:szCs w:val="24"/>
        </w:rPr>
        <w:t>ák össze azzal a gyakorlattal, hogy bizonyos vállalatokba vagy iparágakba etikai meggyőződésen alapuló befektetéseket tiltanak vagy korlátoznak.</w:t>
      </w:r>
      <w:r w:rsidR="00694E09" w:rsidRPr="007E723C">
        <w:rPr>
          <w:rFonts w:ascii="Georgia" w:hAnsi="Georgia" w:cs="Times New Roman"/>
          <w:sz w:val="24"/>
          <w:szCs w:val="24"/>
        </w:rPr>
        <w:t xml:space="preserve"> Ugyanakkor felismerték azt is, hogy bizonyos környezeti, társadalmi és </w:t>
      </w:r>
      <w:r w:rsidR="00CE0CC7" w:rsidRPr="007E723C">
        <w:rPr>
          <w:rFonts w:ascii="Georgia" w:hAnsi="Georgia" w:cs="Times New Roman"/>
          <w:sz w:val="24"/>
          <w:szCs w:val="24"/>
        </w:rPr>
        <w:t>vállalat</w:t>
      </w:r>
      <w:r w:rsidR="00694E09" w:rsidRPr="007E723C">
        <w:rPr>
          <w:rFonts w:ascii="Georgia" w:hAnsi="Georgia" w:cs="Times New Roman"/>
          <w:sz w:val="24"/>
          <w:szCs w:val="24"/>
        </w:rPr>
        <w:t xml:space="preserve">irányítási kérdések, amelyeket a hagyományos befektetési elemzés nem ragad meg, lényegesnek bizonyulhatnak a befektetési teljesítmény szempontjából. </w:t>
      </w:r>
      <w:r w:rsidR="00CE0CC7" w:rsidRPr="007E723C">
        <w:rPr>
          <w:rFonts w:ascii="Georgia" w:hAnsi="Georgia" w:cs="Times New Roman"/>
          <w:sz w:val="24"/>
          <w:szCs w:val="24"/>
        </w:rPr>
        <w:t>Ezzel összefüggésben e</w:t>
      </w:r>
      <w:r w:rsidR="00694E09" w:rsidRPr="007E723C">
        <w:rPr>
          <w:rFonts w:ascii="Georgia" w:hAnsi="Georgia" w:cs="Times New Roman"/>
          <w:sz w:val="24"/>
          <w:szCs w:val="24"/>
        </w:rPr>
        <w:t xml:space="preserve">gyes tanulmányok olyan problémákat azonosítottak, mint például az energiahatékonyság, a szén-dioxid-kibocsátás, a mérgező hulladékok kezelése, a munkahelyi biztonság, a munkavállalói kapcsolatok és a vállalatirányítás, amelyek </w:t>
      </w:r>
      <w:r w:rsidR="00091757" w:rsidRPr="007E723C">
        <w:rPr>
          <w:rFonts w:ascii="Georgia" w:hAnsi="Georgia" w:cs="Times New Roman"/>
          <w:sz w:val="24"/>
          <w:szCs w:val="24"/>
        </w:rPr>
        <w:t xml:space="preserve">mindegyike </w:t>
      </w:r>
      <w:r w:rsidR="00694E09" w:rsidRPr="007E723C">
        <w:rPr>
          <w:rFonts w:ascii="Georgia" w:hAnsi="Georgia" w:cs="Times New Roman"/>
          <w:sz w:val="24"/>
          <w:szCs w:val="24"/>
        </w:rPr>
        <w:t>lényegesen befolyásolj</w:t>
      </w:r>
      <w:r w:rsidR="00091757" w:rsidRPr="007E723C">
        <w:rPr>
          <w:rFonts w:ascii="Georgia" w:hAnsi="Georgia" w:cs="Times New Roman"/>
          <w:sz w:val="24"/>
          <w:szCs w:val="24"/>
        </w:rPr>
        <w:t>a</w:t>
      </w:r>
      <w:r w:rsidR="00694E09" w:rsidRPr="007E723C">
        <w:rPr>
          <w:rFonts w:ascii="Georgia" w:hAnsi="Georgia" w:cs="Times New Roman"/>
          <w:sz w:val="24"/>
          <w:szCs w:val="24"/>
        </w:rPr>
        <w:t xml:space="preserve"> a hagyományos pénzügyi mutatókat, és nem mellesleg a befektetők hírnevét is. </w:t>
      </w:r>
      <w:r w:rsidR="007F038F" w:rsidRPr="007E723C">
        <w:rPr>
          <w:rFonts w:ascii="Georgia" w:hAnsi="Georgia" w:cs="Times New Roman"/>
          <w:sz w:val="24"/>
          <w:szCs w:val="24"/>
        </w:rPr>
        <w:t>Többek között e</w:t>
      </w:r>
      <w:r w:rsidR="00694E09" w:rsidRPr="007E723C">
        <w:rPr>
          <w:rFonts w:ascii="Georgia" w:hAnsi="Georgia" w:cs="Times New Roman"/>
          <w:sz w:val="24"/>
          <w:szCs w:val="24"/>
        </w:rPr>
        <w:t>z a felismerés alapozta meg az ESG</w:t>
      </w:r>
      <w:r w:rsidR="00F037EC" w:rsidRPr="007E723C">
        <w:rPr>
          <w:rFonts w:ascii="Georgia" w:hAnsi="Georgia" w:cs="Times New Roman"/>
          <w:sz w:val="24"/>
          <w:szCs w:val="24"/>
        </w:rPr>
        <w:t xml:space="preserve"> szempontokat figyelembe vevő</w:t>
      </w:r>
      <w:r w:rsidR="00694E09" w:rsidRPr="007E723C">
        <w:rPr>
          <w:rFonts w:ascii="Georgia" w:hAnsi="Georgia" w:cs="Times New Roman"/>
          <w:sz w:val="24"/>
          <w:szCs w:val="24"/>
        </w:rPr>
        <w:t xml:space="preserve"> befektetések</w:t>
      </w:r>
      <w:r w:rsidR="007F038F" w:rsidRPr="007E723C">
        <w:rPr>
          <w:rFonts w:ascii="Georgia" w:hAnsi="Georgia" w:cs="Times New Roman"/>
          <w:sz w:val="24"/>
          <w:szCs w:val="24"/>
        </w:rPr>
        <w:t xml:space="preserve"> megjelenését</w:t>
      </w:r>
      <w:r w:rsidR="00694E09" w:rsidRPr="007E723C">
        <w:rPr>
          <w:rFonts w:ascii="Georgia" w:hAnsi="Georgia" w:cs="Times New Roman"/>
          <w:sz w:val="24"/>
          <w:szCs w:val="24"/>
        </w:rPr>
        <w:t>, amelyek napjainkban egyre nagyobb népszerűségnek örvendve formálj</w:t>
      </w:r>
      <w:r w:rsidR="007F038F" w:rsidRPr="007E723C">
        <w:rPr>
          <w:rFonts w:ascii="Georgia" w:hAnsi="Georgia" w:cs="Times New Roman"/>
          <w:sz w:val="24"/>
          <w:szCs w:val="24"/>
        </w:rPr>
        <w:t>ák</w:t>
      </w:r>
      <w:r w:rsidR="00694E09" w:rsidRPr="007E723C">
        <w:rPr>
          <w:rFonts w:ascii="Georgia" w:hAnsi="Georgia" w:cs="Times New Roman"/>
          <w:sz w:val="24"/>
          <w:szCs w:val="24"/>
        </w:rPr>
        <w:t xml:space="preserve"> át az üzleti élet több aspektusát</w:t>
      </w:r>
      <w:r w:rsidR="00F037EC" w:rsidRPr="007E723C">
        <w:rPr>
          <w:rFonts w:ascii="Georgia" w:hAnsi="Georgia" w:cs="Times New Roman"/>
          <w:sz w:val="24"/>
          <w:szCs w:val="24"/>
        </w:rPr>
        <w:t xml:space="preserve"> </w:t>
      </w:r>
      <w:r w:rsidR="00F037EC" w:rsidRPr="007E723C">
        <w:rPr>
          <w:rFonts w:ascii="Georgia" w:hAnsi="Georgia" w:cs="Times New Roman"/>
          <w:sz w:val="24"/>
          <w:szCs w:val="24"/>
        </w:rPr>
        <w:fldChar w:fldCharType="begin"/>
      </w:r>
      <w:r w:rsidR="00F037EC" w:rsidRPr="007E723C">
        <w:rPr>
          <w:rFonts w:ascii="Georgia" w:hAnsi="Georgia" w:cs="Times New Roman"/>
          <w:sz w:val="24"/>
          <w:szCs w:val="24"/>
        </w:rPr>
        <w:instrText xml:space="preserve"> ADDIN ZOTERO_ITEM CSL_CITATION {"citationID":"BAgnUj74","properties":{"formattedCitation":"(Caplan \\uc0\\u233{}s mtsai., 2013)","plainCitation":"(Caplan és mtsai., 2013)","noteIndex":0},"citationItems":[{"id":519,"uris":["http://zotero.org/users/9445126/items/W9WH42X8"],"itemData":{"id":519,"type":"book","abstract":"Thoughtful investment professionals continue to debate whether a portfolio's long-term performance can be enhanced by including environmental, social, and governance (ESG) considerations in the security selection process, but responsible investing is more than a passing trend. The terms socially-responsible investing, mission-related investing, impact investing, and environmental, social, and governance investing--all frequently grouped under the heading of responsible investing--have become a familiar part of the vocabulary of institutional and retail investors. Just what these terms mean in practice, however, and how their practitioners' claims can be impartially assessed, has been less clear. The goal of this paper is to provide a road map to the responsible investing landscape for governing boards and committees who are considering whether and how to integrate environmental, social, and governance factors into their investment process. The authors begin with a review of the principal categories of responsible investing, and assess the way in which the world of responsible investing has moved from a practice of negative screening and exclusion of certain types of investment to one of seeking or encouraging certain characteristics in portfolio companies. They offer their views in: Part I: Responsible Investing: Terminology and Background; Part II: Common Concerns about Responsible Investing; and Part III: Integration of ESG Factors: Some Practical Steps. The responsible investing landscape is changing. Formerly limited to SRI processes characterized by negative screens, responsible investing now sees an increasing emphasis on research techniques that emphasize positive environmental, social, and governance factors. Strengthening the intellectual case for ESG is the recognition by lawmakers and regulators that ESG analysis can be consistent with, or even bolster, traditional fiduciary responsibilities.","language":"en","note":"container-title: Commonfund Institute","publisher":"Commonfund Institute","source":"ERIC","title":"From SRI to ESG: The Changing World of Responsible Investing","title-short":"From SRI to ESG","URL":"https://eric.ed.gov/?id=ED559300","author":[{"family":"Caplan","given":"Lauren"},{"family":"Griswold","given":"John S."},{"family":"Jarvis","given":"William F."}],"accessed":{"date-parts":[["2022",5,2]]},"issued":{"date-parts":[["2013",9]]}}}],"schema":"https://github.com/citation-style-language/schema/raw/master/csl-citation.json"} </w:instrText>
      </w:r>
      <w:r w:rsidR="00F037EC" w:rsidRPr="007E723C">
        <w:rPr>
          <w:rFonts w:ascii="Georgia" w:hAnsi="Georgia" w:cs="Times New Roman"/>
          <w:sz w:val="24"/>
          <w:szCs w:val="24"/>
        </w:rPr>
        <w:fldChar w:fldCharType="separate"/>
      </w:r>
      <w:r w:rsidR="00F037EC" w:rsidRPr="007E723C">
        <w:rPr>
          <w:rFonts w:ascii="Georgia" w:hAnsi="Georgia" w:cs="Times New Roman"/>
          <w:sz w:val="24"/>
          <w:szCs w:val="24"/>
        </w:rPr>
        <w:t>(Caplan és mtsai., 2013)</w:t>
      </w:r>
      <w:r w:rsidR="00F037EC" w:rsidRPr="007E723C">
        <w:rPr>
          <w:rFonts w:ascii="Georgia" w:hAnsi="Georgia" w:cs="Times New Roman"/>
          <w:sz w:val="24"/>
          <w:szCs w:val="24"/>
        </w:rPr>
        <w:fldChar w:fldCharType="end"/>
      </w:r>
      <w:r w:rsidR="007F038F" w:rsidRPr="007E723C">
        <w:rPr>
          <w:rFonts w:ascii="Georgia" w:hAnsi="Georgia" w:cs="Times New Roman"/>
          <w:sz w:val="24"/>
          <w:szCs w:val="24"/>
        </w:rPr>
        <w:t>.</w:t>
      </w:r>
    </w:p>
    <w:p w14:paraId="682C8906" w14:textId="002E0AC7" w:rsidR="00CE0A16" w:rsidRPr="007E723C" w:rsidRDefault="00973E8D" w:rsidP="00091757">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 xml:space="preserve">Maga az ESG személet és annak elterjedése az ENSZ főtitkárának, Kofi Ananan-nak a 2004-es levelével kezdődött, aki arra kérte a pénzügyi intézmények vezetőit, hogy csatlakozzanak az ENSZ és az IFC közös kezdeményezéséhez, melynek fő célja, hogy elősegítse az ESG szemlélet vállalati működésbe való </w:t>
      </w:r>
      <w:r w:rsidRPr="007E723C">
        <w:rPr>
          <w:rFonts w:ascii="Georgia" w:hAnsi="Georgia" w:cs="Times New Roman"/>
          <w:sz w:val="24"/>
          <w:szCs w:val="24"/>
        </w:rPr>
        <w:lastRenderedPageBreak/>
        <w:t xml:space="preserve">beépítését. Egy évvel később ennek a kezdeményezésnek a keretében </w:t>
      </w:r>
      <w:r w:rsidR="00EA244A" w:rsidRPr="007E723C">
        <w:rPr>
          <w:rFonts w:ascii="Georgia" w:hAnsi="Georgia" w:cs="Times New Roman"/>
          <w:sz w:val="24"/>
          <w:szCs w:val="24"/>
        </w:rPr>
        <w:t>„Who cares win” címmel</w:t>
      </w:r>
      <w:r w:rsidRPr="007E723C">
        <w:rPr>
          <w:rFonts w:ascii="Georgia" w:hAnsi="Georgia" w:cs="Times New Roman"/>
          <w:sz w:val="24"/>
          <w:szCs w:val="24"/>
        </w:rPr>
        <w:t xml:space="preserve"> egy jelentést adt</w:t>
      </w:r>
      <w:r w:rsidR="00EA244A" w:rsidRPr="007E723C">
        <w:rPr>
          <w:rFonts w:ascii="Georgia" w:hAnsi="Georgia" w:cs="Times New Roman"/>
          <w:sz w:val="24"/>
          <w:szCs w:val="24"/>
        </w:rPr>
        <w:t>ak</w:t>
      </w:r>
      <w:r w:rsidRPr="007E723C">
        <w:rPr>
          <w:rFonts w:ascii="Georgia" w:hAnsi="Georgia" w:cs="Times New Roman"/>
          <w:sz w:val="24"/>
          <w:szCs w:val="24"/>
        </w:rPr>
        <w:t xml:space="preserve"> ki, melyben kihangsúlyozt</w:t>
      </w:r>
      <w:r w:rsidR="00EA244A" w:rsidRPr="007E723C">
        <w:rPr>
          <w:rFonts w:ascii="Georgia" w:hAnsi="Georgia" w:cs="Times New Roman"/>
          <w:sz w:val="24"/>
          <w:szCs w:val="24"/>
        </w:rPr>
        <w:t>ák</w:t>
      </w:r>
      <w:r w:rsidRPr="007E723C">
        <w:rPr>
          <w:rFonts w:ascii="Georgia" w:hAnsi="Georgia" w:cs="Times New Roman"/>
          <w:sz w:val="24"/>
          <w:szCs w:val="24"/>
        </w:rPr>
        <w:t xml:space="preserve">, hogy a környezeti, társadalmi és </w:t>
      </w:r>
      <w:r w:rsidR="00091757" w:rsidRPr="007E723C">
        <w:rPr>
          <w:rFonts w:ascii="Georgia" w:hAnsi="Georgia" w:cs="Times New Roman"/>
          <w:sz w:val="24"/>
          <w:szCs w:val="24"/>
        </w:rPr>
        <w:t>vállalat</w:t>
      </w:r>
      <w:r w:rsidRPr="007E723C">
        <w:rPr>
          <w:rFonts w:ascii="Georgia" w:hAnsi="Georgia" w:cs="Times New Roman"/>
          <w:sz w:val="24"/>
          <w:szCs w:val="24"/>
        </w:rPr>
        <w:t>irányítási, vagyis röviden ESG szempontok figyelembevétele egy jó üzleti lehetőség, mely fenntartható piacok létrejöttéhez vezet. Ezzel egyidőben jelent meg az úgynevezett „Freshfield Report” is, amely rámutatott arra, hogy az ESG szempontoknak igenis van pénzügyi</w:t>
      </w:r>
      <w:r w:rsidR="00091757" w:rsidRPr="007E723C">
        <w:rPr>
          <w:rFonts w:ascii="Georgia" w:hAnsi="Georgia" w:cs="Times New Roman"/>
          <w:sz w:val="24"/>
          <w:szCs w:val="24"/>
        </w:rPr>
        <w:t xml:space="preserve"> jelentősége</w:t>
      </w:r>
      <w:r w:rsidRPr="007E723C">
        <w:rPr>
          <w:rFonts w:ascii="Georgia" w:hAnsi="Georgia" w:cs="Times New Roman"/>
          <w:sz w:val="24"/>
          <w:szCs w:val="24"/>
        </w:rPr>
        <w:t>. Többek között ez a két publikáció alapozta meg a new yorki tőzsdén a PRI (Principles for Responsible Investment), illetve az SSEI (Suszainable Stock Exchange Initiative) kezdeményezések megalakulását, melyeket az ESG szempontok vállalati működésbe és döntéshozatalba történő integrálásának elősegítésére hoztak létre</w:t>
      </w:r>
      <w:r w:rsidR="00EA244A" w:rsidRPr="007E723C">
        <w:rPr>
          <w:rFonts w:ascii="Georgia" w:hAnsi="Georgia" w:cs="Times New Roman"/>
          <w:sz w:val="24"/>
          <w:szCs w:val="24"/>
        </w:rPr>
        <w:t xml:space="preserve"> </w:t>
      </w:r>
      <w:r w:rsidR="00EA244A" w:rsidRPr="007E723C">
        <w:rPr>
          <w:rFonts w:ascii="Georgia" w:hAnsi="Georgia" w:cs="Times New Roman"/>
          <w:sz w:val="24"/>
          <w:szCs w:val="24"/>
        </w:rPr>
        <w:fldChar w:fldCharType="begin"/>
      </w:r>
      <w:r w:rsidR="00EA244A" w:rsidRPr="007E723C">
        <w:rPr>
          <w:rFonts w:ascii="Georgia" w:hAnsi="Georgia" w:cs="Times New Roman"/>
          <w:sz w:val="24"/>
          <w:szCs w:val="24"/>
        </w:rPr>
        <w:instrText xml:space="preserve"> ADDIN ZOTERO_ITEM CSL_CITATION {"citationID":"wTaWOSDo","properties":{"formattedCitation":"(Kell, 2018)","plainCitation":"(Kell, 2018)","noteIndex":0},"citationItems":[{"id":663,"uris":["http://zotero.org/users/9445126/items/E2NGBMFI"],"itemData":{"id":663,"type":"webpage","abstract":"ESG investing has gone mainstream. This article reviews the origins and growth of responsible investing.","container-title":"Forbes","language":"en","note":"section: Leadership Strategy","title":"The Remarkable Rise Of ESG","URL":"https://www.forbes.com/sites/georgkell/2018/07/11/the-remarkable-rise-of-esg/","author":[{"family":"Kell","given":"Georg"}],"accessed":{"date-parts":[["2022",9,1]]},"issued":{"date-parts":[["2018"]]}}}],"schema":"https://github.com/citation-style-language/schema/raw/master/csl-citation.json"} </w:instrText>
      </w:r>
      <w:r w:rsidR="00EA244A" w:rsidRPr="007E723C">
        <w:rPr>
          <w:rFonts w:ascii="Georgia" w:hAnsi="Georgia" w:cs="Times New Roman"/>
          <w:sz w:val="24"/>
          <w:szCs w:val="24"/>
        </w:rPr>
        <w:fldChar w:fldCharType="separate"/>
      </w:r>
      <w:r w:rsidR="00EA244A" w:rsidRPr="007E723C">
        <w:rPr>
          <w:rFonts w:ascii="Georgia" w:hAnsi="Georgia" w:cs="Times New Roman"/>
          <w:sz w:val="24"/>
          <w:szCs w:val="24"/>
        </w:rPr>
        <w:t>(Kell, 2018)</w:t>
      </w:r>
      <w:r w:rsidR="00EA244A"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0FDD81A0" w14:textId="0355E806" w:rsidR="00CE0A16" w:rsidRPr="007E723C" w:rsidRDefault="00CE0A16" w:rsidP="00FF7AC9">
      <w:pPr>
        <w:pStyle w:val="Cmsor3"/>
        <w:numPr>
          <w:ilvl w:val="2"/>
          <w:numId w:val="3"/>
        </w:numPr>
        <w:spacing w:after="160"/>
        <w:ind w:left="1701"/>
        <w:rPr>
          <w:rFonts w:ascii="Georgia" w:hAnsi="Georgia" w:cs="Times New Roman"/>
          <w:b/>
          <w:bCs/>
          <w:color w:val="auto"/>
        </w:rPr>
      </w:pPr>
      <w:bookmarkStart w:id="11" w:name="_Toc119421170"/>
      <w:r w:rsidRPr="007E723C">
        <w:rPr>
          <w:rFonts w:ascii="Georgia" w:hAnsi="Georgia" w:cs="Times New Roman"/>
          <w:b/>
          <w:bCs/>
          <w:color w:val="auto"/>
        </w:rPr>
        <w:t>Mi is az az ESG</w:t>
      </w:r>
      <w:r w:rsidR="000900B4" w:rsidRPr="007E723C">
        <w:rPr>
          <w:rFonts w:ascii="Georgia" w:hAnsi="Georgia" w:cs="Times New Roman"/>
          <w:b/>
          <w:bCs/>
          <w:color w:val="auto"/>
        </w:rPr>
        <w:t>?</w:t>
      </w:r>
      <w:r w:rsidRPr="007E723C">
        <w:rPr>
          <w:rFonts w:ascii="Georgia" w:hAnsi="Georgia" w:cs="Times New Roman"/>
          <w:b/>
          <w:bCs/>
          <w:color w:val="auto"/>
        </w:rPr>
        <w:t xml:space="preserve"> A három pillér</w:t>
      </w:r>
      <w:bookmarkEnd w:id="11"/>
    </w:p>
    <w:p w14:paraId="53BBA50F" w14:textId="208C7AD2" w:rsidR="00CE0A16" w:rsidRPr="007E723C" w:rsidRDefault="00CE0A16" w:rsidP="00CE0A16">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Ahogy már az előző alfejezetekben is láthattuk a fenntarthatósági kérdések megjelenésével a vállalkozások érintettjeit, különösen a befektetőket már nem csak a profitmaximalizálás érdekli, hanem döntéseik során figyelembe veszik a vállalatok egyéb tevékenységeit, </w:t>
      </w:r>
      <w:r w:rsidR="00091757" w:rsidRPr="007E723C">
        <w:rPr>
          <w:rFonts w:ascii="Georgia" w:hAnsi="Georgia" w:cs="Times New Roman"/>
          <w:sz w:val="24"/>
          <w:szCs w:val="24"/>
        </w:rPr>
        <w:t>működésüknek egyéb fenntarthatósághoz köthető aspektusait</w:t>
      </w:r>
      <w:r w:rsidRPr="007E723C">
        <w:rPr>
          <w:rFonts w:ascii="Georgia" w:hAnsi="Georgia" w:cs="Times New Roman"/>
          <w:sz w:val="24"/>
          <w:szCs w:val="24"/>
        </w:rPr>
        <w:t xml:space="preserve"> is. Ezeket a fenntarthatóságra vonatkozó információkat az ESG szemlélet egy szisztematikus rendszerbe tömöríti, ahol a három legfontosabb tényezőcsoport, amelyre a betűszó is utal: a környezetre gyakorolt hatás (Environmental), a társadalmi felelősségvállalás (Social) és a vállalatirányítás (Governance). Az ESG-re épülő értékelések tehát ezen három tényező együttes vizsgálatát teszik lehetővé. Mielőtt azonban rátérnénk arra, hogy </w:t>
      </w:r>
      <w:r w:rsidR="00091757" w:rsidRPr="007E723C">
        <w:rPr>
          <w:rFonts w:ascii="Georgia" w:hAnsi="Georgia" w:cs="Times New Roman"/>
          <w:sz w:val="24"/>
          <w:szCs w:val="24"/>
        </w:rPr>
        <w:t>miért</w:t>
      </w:r>
      <w:r w:rsidRPr="007E723C">
        <w:rPr>
          <w:rFonts w:ascii="Georgia" w:hAnsi="Georgia" w:cs="Times New Roman"/>
          <w:sz w:val="24"/>
          <w:szCs w:val="24"/>
        </w:rPr>
        <w:t xml:space="preserve"> is terjedt el </w:t>
      </w:r>
      <w:r w:rsidR="00091757" w:rsidRPr="007E723C">
        <w:rPr>
          <w:rFonts w:ascii="Georgia" w:hAnsi="Georgia" w:cs="Times New Roman"/>
          <w:sz w:val="24"/>
          <w:szCs w:val="24"/>
        </w:rPr>
        <w:t xml:space="preserve">és hogyan alkalmazzák </w:t>
      </w:r>
      <w:r w:rsidRPr="007E723C">
        <w:rPr>
          <w:rFonts w:ascii="Georgia" w:hAnsi="Georgia" w:cs="Times New Roman"/>
          <w:sz w:val="24"/>
          <w:szCs w:val="24"/>
        </w:rPr>
        <w:t xml:space="preserve">az ESG </w:t>
      </w:r>
      <w:r w:rsidR="00091757" w:rsidRPr="007E723C">
        <w:rPr>
          <w:rFonts w:ascii="Georgia" w:hAnsi="Georgia" w:cs="Times New Roman"/>
          <w:sz w:val="24"/>
          <w:szCs w:val="24"/>
        </w:rPr>
        <w:t>szemléletet</w:t>
      </w:r>
      <w:r w:rsidRPr="007E723C">
        <w:rPr>
          <w:rFonts w:ascii="Georgia" w:hAnsi="Georgia" w:cs="Times New Roman"/>
          <w:sz w:val="24"/>
          <w:szCs w:val="24"/>
        </w:rPr>
        <w:t xml:space="preserve">, érdemes rövid áttekinteni, hogy mit is jelent és foglal magába pontosan az a három pillér (Environmental – „környezeti”, Social – „társadalmi”, Governance – „vállalatirányítási”), amire ez a megközelítés is alapoz. </w:t>
      </w:r>
    </w:p>
    <w:p w14:paraId="3C5A3417" w14:textId="7B0E6A87" w:rsidR="00CE0A16" w:rsidRPr="007E723C" w:rsidRDefault="00CE0A16" w:rsidP="00CE0A16">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w:t>
      </w:r>
      <w:r w:rsidRPr="007E723C">
        <w:rPr>
          <w:rFonts w:ascii="Georgia" w:hAnsi="Georgia" w:cs="Times New Roman"/>
          <w:i/>
          <w:iCs/>
          <w:sz w:val="24"/>
          <w:szCs w:val="24"/>
        </w:rPr>
        <w:t>környezeti tényező (E)</w:t>
      </w:r>
      <w:r w:rsidRPr="007E723C">
        <w:rPr>
          <w:rFonts w:ascii="Georgia" w:hAnsi="Georgia" w:cs="Times New Roman"/>
          <w:sz w:val="24"/>
          <w:szCs w:val="24"/>
        </w:rPr>
        <w:t xml:space="preserve"> lényegében a vállalat ökoszisztémára gyakorolt hatásával foglalkozik. Ez magában foglalja például az üvegházhatású gázok kibocsátását, a természeti erőforrások hatékony felhasználását, a szennyezést és a hulladékgazdálkodást is. De ide sorolható</w:t>
      </w:r>
      <w:r w:rsidR="00E638F8" w:rsidRPr="007E723C">
        <w:rPr>
          <w:rFonts w:ascii="Georgia" w:hAnsi="Georgia" w:cs="Times New Roman"/>
          <w:sz w:val="24"/>
          <w:szCs w:val="24"/>
        </w:rPr>
        <w:t>ak</w:t>
      </w:r>
      <w:r w:rsidRPr="007E723C">
        <w:rPr>
          <w:rFonts w:ascii="Georgia" w:hAnsi="Georgia" w:cs="Times New Roman"/>
          <w:sz w:val="24"/>
          <w:szCs w:val="24"/>
        </w:rPr>
        <w:t xml:space="preserve"> még az innovációs tevékenységek is, amelyek a vállalat által piacra vitt termékek környezetbarát tervezésére irányulnak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{"citationID":"v7sO7qj2","properties":{"formattedCitation":"(Billio \\uc0\\u233{}s mtsai., 2021; Liang &amp; Renneboog, 2020)","plainCitation":"(Billio és mtsai., 2021; Liang &amp; Renneboog, 2020)","noteIndex":0},"citationItems":[{"id":251,"uris":["http://zotero.org/users/9445126/items/HNSW5NWU"],"itemData":{"id":251,"type":"article-journal","abstract":"Abstract We analyze the ESG rating criteria used by prominent agencies and show that there is a lack of a commonality in the definition of ESG (i) characteristics, (ii) attributes and (iii) standards in defining E, S and G components. We provide evidence that heterogeneity in rating criteria can lead agencies to have opposite opinions on the same evaluated companies and that agreement across those providers is substantially low. Those alternative definitions of ESG also affect sustainable investments leading to the identification of different investment universes and consequently to the creation of different benchmarks. This implies that in the asset management industry it is extremely difficult to measure the ability of a fund manager if financial performances are strongly conditioned by the chosen ESG benchmark. Finally, we find that the disagreement in the scores provided by the rating agencies disperses the effect of preferences of ESG investors on asset prices, to the point that even when there is agreement, it has no impact on financial performances.","container-title":"Corporate Social Responsibility and Environmental Management","DOI":"https://doi.org/10.1002/csr.2177","issue":"5","note":"_eprint: https://onlinelibrary.wiley.com/doi/pdf/10.1002/csr.2177","page":"1426-1445","title":"Inside the ESG ratings: (Dis)agreement and performance","volume":"28","author":[{"family":"Billio","given":"Monica"},{"family":"Costola","given":"Michele"},{"family":"Hristova","given":"Iva"},{"family":"Latino","given":"Carmelo"},{"family":"Pelizzon","given":"Loriana"}],"issued":{"date-parts":[["2021"]]}}},{"id":507,"uris":["http://zotero.org/users/9445126/items/94VH5PRU"],"itemData":{"id":507,"type":"report","abstract":"Corporate Social Responsibility (CSR) refers to the incorporation of Environmental, Social, and Governance (ESG) considerations into corporate management, financial decision making, and investors’ portfolio decisions. Socially responsible firms are expected to internalize the externalities (e.g. pollution) they create, and are willing to be accountable to shareholders as well as a broader group of stakeholders (employees, customers, suppliers, local communities,…).  Over the past two decades,  various rating agencies developed firm-level measures of ESG performance, which are widely used in the literature. A problem for past and a challenge for future research is that these ratings show inconsistencies, which depend on the rating agencies’ preferences, weights of the constituting factors, and rating methodology.CSR also deals with sustainable, responsible, and impact investing (SRI). The return implications of investing in the stocks of socially responsible firms, the search for an EGS factor, as well as the performance of SRI funds are the dominant topics. SR funds apply negative screening (exclusion of ‘sin’ industries), positive screening, as well as activism through proxy voting or direct engagement. In this context, one wonders whether responsible investors are willing to  trade off financial returns with a ‘moral’ dividend (the return given up in exchange for an increase in utility driven by the knowledge that one invests ethically). A recent literature concentrates on green financing (the financing of environmentally friendly investment projects by means of green bonds) and on how to foster economic de-carbonization as climate change affects financial markets and investor behavior.","event-place":"Rochester, NY","genre":"SSRN Scholarly Paper","language":"en","note":"DOI: 10.2139/ssrn.3698631","number":"3698631","publisher":"Social Science Research Network","publisher-place":"Rochester, NY","source":"papers.ssrn.com","title":"Corporate Social Responsibility and Sustainable Finance: A Review of the Literature","title-short":"Corporate Social Responsibility and Sustainable Finance","URL":"https://papers.ssrn.com/abstract=3698631","author":[{"family":"Liang","given":"Hao"},{"family":"Renneboog","given":"Luc"}],"accessed":{"date-parts":[["2022",5,2]]},"issued":{"date-parts":[["2020",9,24]]}}}],"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(Billio és mtsai., 2021; Liang &amp; Renneboog, 2020)</w:t>
      </w:r>
      <w:r w:rsidRPr="007E723C">
        <w:rPr>
          <w:rFonts w:ascii="Georgia" w:hAnsi="Georgia" w:cs="Times New Roman"/>
          <w:sz w:val="24"/>
          <w:szCs w:val="24"/>
        </w:rPr>
        <w:fldChar w:fldCharType="end"/>
      </w:r>
      <w:r w:rsidRPr="007E723C">
        <w:rPr>
          <w:rFonts w:ascii="Georgia" w:hAnsi="Georgia" w:cs="Times New Roman"/>
          <w:sz w:val="24"/>
          <w:szCs w:val="24"/>
        </w:rPr>
        <w:t>.</w:t>
      </w:r>
    </w:p>
    <w:p w14:paraId="6E33B711" w14:textId="77777777" w:rsidR="00CE0A16" w:rsidRPr="007E723C" w:rsidRDefault="00CE0A16" w:rsidP="00CE0A16">
      <w:pPr>
        <w:spacing w:line="360" w:lineRule="auto"/>
        <w:ind w:firstLine="709"/>
        <w:jc w:val="both"/>
        <w:rPr>
          <w:rFonts w:ascii="Georgia" w:hAnsi="Georgia" w:cs="Times New Roman"/>
          <w:sz w:val="24"/>
          <w:szCs w:val="24"/>
        </w:rPr>
      </w:pPr>
      <w:r w:rsidRPr="007E723C">
        <w:rPr>
          <w:rFonts w:ascii="Georgia" w:hAnsi="Georgia" w:cs="Times New Roman"/>
          <w:sz w:val="24"/>
          <w:szCs w:val="24"/>
        </w:rPr>
        <w:lastRenderedPageBreak/>
        <w:t xml:space="preserve">A </w:t>
      </w:r>
      <w:r w:rsidRPr="007E723C">
        <w:rPr>
          <w:rFonts w:ascii="Georgia" w:hAnsi="Georgia" w:cs="Times New Roman"/>
          <w:i/>
          <w:iCs/>
          <w:sz w:val="24"/>
          <w:szCs w:val="24"/>
        </w:rPr>
        <w:t>társadalmi tényező (S)</w:t>
      </w:r>
      <w:r w:rsidRPr="007E723C">
        <w:rPr>
          <w:rFonts w:ascii="Georgia" w:hAnsi="Georgia" w:cs="Times New Roman"/>
          <w:sz w:val="24"/>
          <w:szCs w:val="24"/>
        </w:rPr>
        <w:t xml:space="preserve"> a vállalat munkaerővel, ügyfelekkel és társadalommal való kapcsolatára utal. Ide tartozik a foglalkoztatás minősége, a biztonság, az egészség, illetve a képzés-fejlesztés is. Fontos szempont továbbá az ügyfelek elégedettségének elérése és a jó munkahelyi kultúra, közösség kialakítása is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{"citationID":"jZyyfz2n","properties":{"formattedCitation":"(Billio \\uc0\\u233{}s mtsai., 2021; Liang &amp; Renneboog, 2020)","plainCitation":"(Billio és mtsai., 2021; Liang &amp; Renneboog, 2020)","noteIndex":0},"citationItems":[{"id":251,"uris":["http://zotero.org/users/9445126/items/HNSW5NWU"],"itemData":{"id":251,"type":"article-journal","abstract":"Abstract We analyze the ESG rating criteria used by prominent agencies and show that there is a lack of a commonality in the definition of ESG (i) characteristics, (ii) attributes and (iii) standards in defining E, S and G components. We provide evidence that heterogeneity in rating criteria can lead agencies to have opposite opinions on the same evaluated companies and that agreement across those providers is substantially low. Those alternative definitions of ESG also affect sustainable investments leading to the identification of different investment universes and consequently to the creation of different benchmarks. This implies that in the asset management industry it is extremely difficult to measure the ability of a fund manager if financial performances are strongly conditioned by the chosen ESG benchmark. Finally, we find that the disagreement in the scores provided by the rating agencies disperses the effect of preferences of ESG investors on asset prices, to the point that even when there is agreement, it has no impact on financial performances.","container-title":"Corporate Social Responsibility and Environmental Management","DOI":"https://doi.org/10.1002/csr.2177","issue":"5","note":"_eprint: https://onlinelibrary.wiley.com/doi/pdf/10.1002/csr.2177","page":"1426-1445","title":"Inside the ESG ratings: (Dis)agreement and performance","volume":"28","author":[{"family":"Billio","given":"Monica"},{"family":"Costola","given":"Michele"},{"family":"Hristova","given":"Iva"},{"family":"Latino","given":"Carmelo"},{"family":"Pelizzon","given":"Loriana"}],"issued":{"date-parts":[["2021"]]}}},{"id":507,"uris":["http://zotero.org/users/9445126/items/94VH5PRU"],"itemData":{"id":507,"type":"report","abstract":"Corporate Social Responsibility (CSR) refers to the incorporation of Environmental, Social, and Governance (ESG) considerations into corporate management, financial decision making, and investors’ portfolio decisions. Socially responsible firms are expected to internalize the externalities (e.g. pollution) they create, and are willing to be accountable to shareholders as well as a broader group of stakeholders (employees, customers, suppliers, local communities,…).  Over the past two decades,  various rating agencies developed firm-level measures of ESG performance, which are widely used in the literature. A problem for past and a challenge for future research is that these ratings show inconsistencies, which depend on the rating agencies’ preferences, weights of the constituting factors, and rating methodology.CSR also deals with sustainable, responsible, and impact investing (SRI). The return implications of investing in the stocks of socially responsible firms, the search for an EGS factor, as well as the performance of SRI funds are the dominant topics. SR funds apply negative screening (exclusion of ‘sin’ industries), positive screening, as well as activism through proxy voting or direct engagement. In this context, one wonders whether responsible investors are willing to  trade off financial returns with a ‘moral’ dividend (the return given up in exchange for an increase in utility driven by the knowledge that one invests ethically). A recent literature concentrates on green financing (the financing of environmentally friendly investment projects by means of green bonds) and on how to foster economic de-carbonization as climate change affects financial markets and investor behavior.","event-place":"Rochester, NY","genre":"SSRN Scholarly Paper","language":"en","note":"DOI: 10.2139/ssrn.3698631","number":"3698631","publisher":"Social Science Research Network","publisher-place":"Rochester, NY","source":"papers.ssrn.com","title":"Corporate Social Responsibility and Sustainable Finance: A Review of the Literature","title-short":"Corporate Social Responsibility and Sustainable Finance","URL":"https://papers.ssrn.com/abstract=3698631","author":[{"family":"Liang","given":"Hao"},{"family":"Renneboog","given":"Luc"}],"accessed":{"date-parts":[["2022",5,2]]},"issued":{"date-parts":[["2020",9,24]]}}}],"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(Billio és mtsai., 2021; Liang &amp; Renneboog, 2020)</w:t>
      </w:r>
      <w:r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2A8BF32B" w14:textId="01601497" w:rsidR="00CE0A16" w:rsidRPr="007E723C" w:rsidRDefault="00CE0A16" w:rsidP="00EA244A">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w:t>
      </w:r>
      <w:r w:rsidRPr="007E723C">
        <w:rPr>
          <w:rFonts w:ascii="Georgia" w:hAnsi="Georgia" w:cs="Times New Roman"/>
          <w:i/>
          <w:iCs/>
          <w:sz w:val="24"/>
          <w:szCs w:val="24"/>
        </w:rPr>
        <w:t>vállalatirányítási tényező (G)</w:t>
      </w:r>
      <w:r w:rsidRPr="007E723C">
        <w:rPr>
          <w:rFonts w:ascii="Georgia" w:hAnsi="Georgia" w:cs="Times New Roman"/>
          <w:sz w:val="24"/>
          <w:szCs w:val="24"/>
        </w:rPr>
        <w:t xml:space="preserve"> egyfelől a hagyományos vállalatirányítást jelenti, vagyis olyan mechanizmusokat, amelyek a vezetést a részvényesi érték maximalizálására késztetik. De ide tartozik például a jól működő igazgatóság, az igazságos vezetői javadalmazás, vagy az illegális tevékenységek, a csalás és a vesztegetések elkerülése is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{"citationID":"twdL0f1T","properties":{"formattedCitation":"(Billio \\uc0\\u233{}s mtsai., 2021; Liang &amp; Renneboog, 2020)","plainCitation":"(Billio és mtsai., 2021; Liang &amp; Renneboog, 2020)","noteIndex":0},"citationItems":[{"id":251,"uris":["http://zotero.org/users/9445126/items/HNSW5NWU"],"itemData":{"id":251,"type":"article-journal","abstract":"Abstract We analyze the ESG rating criteria used by prominent agencies and show that there is a lack of a commonality in the definition of ESG (i) characteristics, (ii) attributes and (iii) standards in defining E, S and G components. We provide evidence that heterogeneity in rating criteria can lead agencies to have opposite opinions on the same evaluated companies and that agreement across those providers is substantially low. Those alternative definitions of ESG also affect sustainable investments leading to the identification of different investment universes and consequently to the creation of different benchmarks. This implies that in the asset management industry it is extremely difficult to measure the ability of a fund manager if financial performances are strongly conditioned by the chosen ESG benchmark. Finally, we find that the disagreement in the scores provided by the rating agencies disperses the effect of preferences of ESG investors on asset prices, to the point that even when there is agreement, it has no impact on financial performances.","container-title":"Corporate Social Responsibility and Environmental Management","DOI":"https://doi.org/10.1002/csr.2177","issue":"5","note":"_eprint: https://onlinelibrary.wiley.com/doi/pdf/10.1002/csr.2177","page":"1426-1445","title":"Inside the ESG ratings: (Dis)agreement and performance","volume":"28","author":[{"family":"Billio","given":"Monica"},{"family":"Costola","given":"Michele"},{"family":"Hristova","given":"Iva"},{"family":"Latino","given":"Carmelo"},{"family":"Pelizzon","given":"Loriana"}],"issued":{"date-parts":[["2021"]]}}},{"id":507,"uris":["http://zotero.org/users/9445126/items/94VH5PRU"],"itemData":{"id":507,"type":"report","abstract":"Corporate Social Responsibility (CSR) refers to the incorporation of Environmental, Social, and Governance (ESG) considerations into corporate management, financial decision making, and investors’ portfolio decisions. Socially responsible firms are expected to internalize the externalities (e.g. pollution) they create, and are willing to be accountable to shareholders as well as a broader group of stakeholders (employees, customers, suppliers, local communities,…).  Over the past two decades,  various rating agencies developed firm-level measures of ESG performance, which are widely used in the literature. A problem for past and a challenge for future research is that these ratings show inconsistencies, which depend on the rating agencies’ preferences, weights of the constituting factors, and rating methodology.CSR also deals with sustainable, responsible, and impact investing (SRI). The return implications of investing in the stocks of socially responsible firms, the search for an EGS factor, as well as the performance of SRI funds are the dominant topics. SR funds apply negative screening (exclusion of ‘sin’ industries), positive screening, as well as activism through proxy voting or direct engagement. In this context, one wonders whether responsible investors are willing to  trade off financial returns with a ‘moral’ dividend (the return given up in exchange for an increase in utility driven by the knowledge that one invests ethically). A recent literature concentrates on green financing (the financing of environmentally friendly investment projects by means of green bonds) and on how to foster economic de-carbonization as climate change affects financial markets and investor behavior.","event-place":"Rochester, NY","genre":"SSRN Scholarly Paper","language":"en","note":"DOI: 10.2139/ssrn.3698631","number":"3698631","publisher":"Social Science Research Network","publisher-place":"Rochester, NY","source":"papers.ssrn.com","title":"Corporate Social Responsibility and Sustainable Finance: A Review of the Literature","title-short":"Corporate Social Responsibility and Sustainable Finance","URL":"https://papers.ssrn.com/abstract=3698631","author":[{"family":"Liang","given":"Hao"},{"family":"Renneboog","given":"Luc"}],"accessed":{"date-parts":[["2022",5,2]]},"issued":{"date-parts":[["2020",9,24]]}}}],"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(Billio és mtsai., 2021; Liang &amp; Renneboog, 2020)</w:t>
      </w:r>
      <w:r w:rsidRPr="007E723C">
        <w:rPr>
          <w:rFonts w:ascii="Georgia" w:hAnsi="Georgia" w:cs="Times New Roman"/>
          <w:sz w:val="24"/>
          <w:szCs w:val="24"/>
        </w:rPr>
        <w:fldChar w:fldCharType="end"/>
      </w:r>
      <w:r w:rsidRPr="007E723C">
        <w:rPr>
          <w:rFonts w:ascii="Georgia" w:hAnsi="Georgia" w:cs="Times New Roman"/>
          <w:sz w:val="24"/>
          <w:szCs w:val="24"/>
        </w:rPr>
        <w:t>.</w:t>
      </w:r>
    </w:p>
    <w:p w14:paraId="52D4C80E" w14:textId="6290D1FF" w:rsidR="00CE0A16" w:rsidRPr="007E723C" w:rsidRDefault="00973E8D" w:rsidP="00FF7AC9">
      <w:pPr>
        <w:pStyle w:val="Cmsor3"/>
        <w:numPr>
          <w:ilvl w:val="2"/>
          <w:numId w:val="3"/>
        </w:numPr>
        <w:spacing w:after="160"/>
        <w:ind w:left="1701"/>
        <w:rPr>
          <w:rFonts w:ascii="Georgia" w:hAnsi="Georgia" w:cs="Times New Roman"/>
          <w:b/>
          <w:bCs/>
          <w:color w:val="auto"/>
        </w:rPr>
      </w:pPr>
      <w:bookmarkStart w:id="12" w:name="_Toc119421171"/>
      <w:r w:rsidRPr="007E723C">
        <w:rPr>
          <w:rFonts w:ascii="Georgia" w:hAnsi="Georgia" w:cs="Times New Roman"/>
          <w:b/>
          <w:bCs/>
          <w:color w:val="auto"/>
        </w:rPr>
        <w:t>Az ESG elterjedésének</w:t>
      </w:r>
      <w:r w:rsidR="00CE0A16" w:rsidRPr="007E723C">
        <w:rPr>
          <w:rFonts w:ascii="Georgia" w:hAnsi="Georgia" w:cs="Times New Roman"/>
          <w:b/>
          <w:bCs/>
          <w:color w:val="auto"/>
        </w:rPr>
        <w:t xml:space="preserve"> lehetséges okai</w:t>
      </w:r>
      <w:bookmarkEnd w:id="12"/>
    </w:p>
    <w:p w14:paraId="1D2996EB" w14:textId="6A9CF348" w:rsidR="00973E8D" w:rsidRPr="007E723C" w:rsidRDefault="00973E8D" w:rsidP="00973E8D">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Kezdetben azonban az ESG befektetések nem voltak olyan népszerűek, mint azt várni lehetett. Az intézményi befektetők ugyanis kételkedtek abban, hogy a fenntarthatósági szempontok ilyen szintű figyelembevétele valóban pénzügyi hasznokat jelenthet. Számukra </w:t>
      </w:r>
      <w:r w:rsidR="00E638F8" w:rsidRPr="007E723C">
        <w:rPr>
          <w:rFonts w:ascii="Georgia" w:hAnsi="Georgia" w:cs="Times New Roman"/>
          <w:sz w:val="24"/>
          <w:szCs w:val="24"/>
        </w:rPr>
        <w:t xml:space="preserve">ugyanis </w:t>
      </w:r>
      <w:r w:rsidRPr="007E723C">
        <w:rPr>
          <w:rFonts w:ascii="Georgia" w:hAnsi="Georgia" w:cs="Times New Roman"/>
          <w:sz w:val="24"/>
          <w:szCs w:val="24"/>
        </w:rPr>
        <w:t xml:space="preserve">csak egy cél volt, a tulajdonosi érték maximalizálása függetlenül a fenntarthatósági szempontoktól. Miután 2013-2014 között egyre több olyan kutatást jelent meg, melyek az ESG tényezők pozitív pénzügyi hatásait hangsúlyozták, a kételkedők száma csökkenni kezdett. Ezen tanulmányok mellett az ESG befektetések népszerűvé válásában szerepet játszott az ESG adatok minőségi és mennyiségi javulása, illetve a jogszabályi környezet fejlődése is, utóbbiról majd a következő fejezetben írok részletesebben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{"citationID":"u8fkgA2X","properties":{"formattedCitation":"(Kell, 2018)","plainCitation":"(Kell, 2018)","noteIndex":0},"citationItems":[{"id":663,"uris":["http://zotero.org/users/9445126/items/E2NGBMFI"],"itemData":{"id":663,"type":"webpage","abstract":"ESG investing has gone mainstream. This article reviews the origins and growth of responsible investing.","container-title":"Forbes","language":"en","note":"section: Leadership Strategy","title":"The Remarkable Rise Of ESG","URL":"https://www.forbes.com/sites/georgkell/2018/07/11/the-remarkable-rise-of-esg/","author":[{"family":"Kell","given":"Georg"}],"accessed":{"date-parts":[["2022",9,1]]},"issued":{"date-parts":[["2018"]]}}}],"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(Kell, 2018)</w:t>
      </w:r>
      <w:r w:rsidRPr="007E723C">
        <w:rPr>
          <w:rFonts w:ascii="Georgia" w:hAnsi="Georgia" w:cs="Times New Roman"/>
          <w:sz w:val="24"/>
          <w:szCs w:val="24"/>
        </w:rPr>
        <w:fldChar w:fldCharType="end"/>
      </w:r>
      <w:r w:rsidRPr="007E723C">
        <w:rPr>
          <w:rFonts w:ascii="Georgia" w:hAnsi="Georgia" w:cs="Times New Roman"/>
          <w:sz w:val="24"/>
          <w:szCs w:val="24"/>
        </w:rPr>
        <w:t>.</w:t>
      </w:r>
    </w:p>
    <w:p w14:paraId="48A9FFE2" w14:textId="584B213C" w:rsidR="00CE0A16" w:rsidRPr="007E723C" w:rsidRDefault="00CE0A16" w:rsidP="00CE0A16">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De hogyan és milyen módon tolódott el a befektetők figyelme a tisztán pénzügyi tényezőktől és hatásoktól az egyéb fenntarthatósági szempontok felé és mi vezetett a felelős befektetések népszerűvé válásához? Az MSCI 2018-ban készített egy tanulmányt, melynek keretében 3 fő motivációs tényezőt azonosítottak, amelyek indokolhatják a befektetők szemléletváltását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{"citationID":"DwwwdTrv","properties":{"formattedCitation":"(MSCI, 2018)","plainCitation":"(MSCI, 2018)","noteIndex":0},"citationItems":[{"id":627,"uris":["http://zotero.org/users/9445126/items/T485QZKI"],"itemData":{"id":627,"type":"post","container-title":"https://www.msci.com/documents/1296102/7943776/ESG+Investing+brochure.pdf/bcac11cb-872b-fe75-34b3-2eaca4526237","title":"Introducing ESG investing","URL":"https://www.msci.com/documents/1296102/7943776/ESG+Investing+brochure.pdf/bcac11cb-872b-fe75-34b3-2eaca4526237","author":[{"family":"MSCI","given":""}],"issued":{"date-parts":[["2018"]]}}}],"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(MSCI, 2018)</w:t>
      </w:r>
      <w:r w:rsidRPr="007E723C">
        <w:rPr>
          <w:rFonts w:ascii="Georgia" w:hAnsi="Georgia" w:cs="Times New Roman"/>
          <w:sz w:val="24"/>
          <w:szCs w:val="24"/>
        </w:rPr>
        <w:fldChar w:fldCharType="end"/>
      </w:r>
      <w:r w:rsidRPr="007E723C">
        <w:rPr>
          <w:rFonts w:ascii="Georgia" w:hAnsi="Georgia" w:cs="Times New Roman"/>
          <w:sz w:val="24"/>
          <w:szCs w:val="24"/>
        </w:rPr>
        <w:t>.</w:t>
      </w:r>
    </w:p>
    <w:p w14:paraId="7D46846F" w14:textId="6C1AD12D" w:rsidR="00CE0A16" w:rsidRPr="007E723C" w:rsidRDefault="00CE0A16" w:rsidP="00CE0A16">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első ilyen motivációs faktor az </w:t>
      </w:r>
      <w:r w:rsidRPr="007E723C">
        <w:rPr>
          <w:rFonts w:ascii="Georgia" w:hAnsi="Georgia" w:cs="Times New Roman"/>
          <w:i/>
          <w:iCs/>
          <w:sz w:val="24"/>
          <w:szCs w:val="24"/>
        </w:rPr>
        <w:t>integráció</w:t>
      </w:r>
      <w:r w:rsidRPr="007E723C">
        <w:rPr>
          <w:rFonts w:ascii="Georgia" w:hAnsi="Georgia" w:cs="Times New Roman"/>
          <w:sz w:val="24"/>
          <w:szCs w:val="24"/>
        </w:rPr>
        <w:t>, amely azt jelenti, hogy a befektetők azért döntenek felelős befektetések mellett, mert azt vizionáljak, hogy portfóliójukkal így magasabb hozamra tehetnek szert. Itt nem csupán arra kell gondolni, hogy a befektető</w:t>
      </w:r>
      <w:r w:rsidR="00E638F8" w:rsidRPr="007E723C">
        <w:rPr>
          <w:rFonts w:ascii="Georgia" w:hAnsi="Georgia" w:cs="Times New Roman"/>
          <w:sz w:val="24"/>
          <w:szCs w:val="24"/>
        </w:rPr>
        <w:t>k</w:t>
      </w:r>
      <w:r w:rsidRPr="007E723C">
        <w:rPr>
          <w:rFonts w:ascii="Georgia" w:hAnsi="Georgia" w:cs="Times New Roman"/>
          <w:sz w:val="24"/>
          <w:szCs w:val="24"/>
        </w:rPr>
        <w:t xml:space="preserve"> mag</w:t>
      </w:r>
      <w:r w:rsidR="00E638F8" w:rsidRPr="007E723C">
        <w:rPr>
          <w:rFonts w:ascii="Georgia" w:hAnsi="Georgia" w:cs="Times New Roman"/>
          <w:sz w:val="24"/>
          <w:szCs w:val="24"/>
        </w:rPr>
        <w:t>uk</w:t>
      </w:r>
      <w:r w:rsidRPr="007E723C">
        <w:rPr>
          <w:rFonts w:ascii="Georgia" w:hAnsi="Georgia" w:cs="Times New Roman"/>
          <w:sz w:val="24"/>
          <w:szCs w:val="24"/>
        </w:rPr>
        <w:t xml:space="preserve"> is felelős magatartást szeret</w:t>
      </w:r>
      <w:r w:rsidR="00E638F8" w:rsidRPr="007E723C">
        <w:rPr>
          <w:rFonts w:ascii="Georgia" w:hAnsi="Georgia" w:cs="Times New Roman"/>
          <w:sz w:val="24"/>
          <w:szCs w:val="24"/>
        </w:rPr>
        <w:t>nének</w:t>
      </w:r>
      <w:r w:rsidRPr="007E723C">
        <w:rPr>
          <w:rFonts w:ascii="Georgia" w:hAnsi="Georgia" w:cs="Times New Roman"/>
          <w:sz w:val="24"/>
          <w:szCs w:val="24"/>
        </w:rPr>
        <w:t xml:space="preserve"> mutatni, egyszerűen csak az a várakozásuk, hogy a jövőbeli trendek a környezettudatosság </w:t>
      </w:r>
      <w:r w:rsidRPr="007E723C">
        <w:rPr>
          <w:rFonts w:ascii="Georgia" w:hAnsi="Georgia" w:cs="Times New Roman"/>
          <w:sz w:val="24"/>
          <w:szCs w:val="24"/>
        </w:rPr>
        <w:lastRenderedPageBreak/>
        <w:t xml:space="preserve">és a társadalmi felelősségvállalás irányába terelődnek, így feltehetőleg a felelős vállalatok jobb pénzügyi teljesítményt fognak majd nyújtani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{"citationID":"tdcurF6E","properties":{"formattedCitation":"(MSCI, 2018)","plainCitation":"(MSCI, 2018)","noteIndex":0},"citationItems":[{"id":627,"uris":["http://zotero.org/users/9445126/items/T485QZKI"],"itemData":{"id":627,"type":"post","container-title":"https://www.msci.com/documents/1296102/7943776/ESG+Investing+brochure.pdf/bcac11cb-872b-fe75-34b3-2eaca4526237","title":"Introducing ESG investing","URL":"https://www.msci.com/documents/1296102/7943776/ESG+Investing+brochure.pdf/bcac11cb-872b-fe75-34b3-2eaca4526237","author":[{"family":"MSCI","given":""}],"issued":{"date-parts":[["2018"]]}}}],"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(MSCI, 2018)</w:t>
      </w:r>
      <w:r w:rsidRPr="007E723C">
        <w:rPr>
          <w:rFonts w:ascii="Georgia" w:hAnsi="Georgia" w:cs="Times New Roman"/>
          <w:sz w:val="24"/>
          <w:szCs w:val="24"/>
        </w:rPr>
        <w:fldChar w:fldCharType="end"/>
      </w:r>
      <w:r w:rsidRPr="007E723C">
        <w:rPr>
          <w:rFonts w:ascii="Georgia" w:hAnsi="Georgia" w:cs="Times New Roman"/>
          <w:sz w:val="24"/>
          <w:szCs w:val="24"/>
        </w:rPr>
        <w:t>.</w:t>
      </w:r>
    </w:p>
    <w:p w14:paraId="15539DDF" w14:textId="090A66D1" w:rsidR="00CE0A16" w:rsidRPr="007E723C" w:rsidRDefault="00CE0A16" w:rsidP="00CE0A16">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Egy másik motivációs tényező a </w:t>
      </w:r>
      <w:r w:rsidRPr="007E723C">
        <w:rPr>
          <w:rFonts w:ascii="Georgia" w:hAnsi="Georgia" w:cs="Times New Roman"/>
          <w:i/>
          <w:iCs/>
          <w:sz w:val="24"/>
          <w:szCs w:val="24"/>
        </w:rPr>
        <w:t>személyes értékrend</w:t>
      </w:r>
      <w:r w:rsidRPr="007E723C">
        <w:rPr>
          <w:rFonts w:ascii="Georgia" w:hAnsi="Georgia" w:cs="Times New Roman"/>
          <w:sz w:val="24"/>
          <w:szCs w:val="24"/>
        </w:rPr>
        <w:t>, vagyis amikor a befektetés mozgatórugója nem feltétlen a pénzügyi megtérülés, hanem személyes etikai nézetek, politika és vallási orientáltság kifejezése. Sok esetben előfordulhat, hogy egy befektető saját értékrendje miatt kerüli az olyan vállalatokba történő befektetéseket, amelyek valamilyen szinten káros termékeket kínálnak (dohány, alkohol), illetve termékeikkel, vagy pusztán a működésükkel veszélyt jelentenek a természeti környezet és az emberiség</w:t>
      </w:r>
      <w:r w:rsidR="00E638F8" w:rsidRPr="007E723C">
        <w:rPr>
          <w:rFonts w:ascii="Georgia" w:hAnsi="Georgia" w:cs="Times New Roman"/>
          <w:sz w:val="24"/>
          <w:szCs w:val="24"/>
        </w:rPr>
        <w:t xml:space="preserve"> számára</w:t>
      </w:r>
      <w:r w:rsidRPr="007E723C">
        <w:rPr>
          <w:rFonts w:ascii="Georgia" w:hAnsi="Georgia" w:cs="Times New Roman"/>
          <w:sz w:val="24"/>
          <w:szCs w:val="24"/>
        </w:rPr>
        <w:t xml:space="preserve"> (fegyverek, vegyi anyagok, fosszilis tüzelőanyagok). Így a felelős befektetésekhez kapcsolódó szempontrendszer segítségével akár ki is tudják szűrni azokat a vállalatokat, amelyek nem feleltethetőek meg személyes értékrendjüknek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{"citationID":"NiDw7bHh","properties":{"formattedCitation":"(MSCI, 2018)","plainCitation":"(MSCI, 2018)","noteIndex":0},"citationItems":[{"id":627,"uris":["http://zotero.org/users/9445126/items/T485QZKI"],"itemData":{"id":627,"type":"post","container-title":"https://www.msci.com/documents/1296102/7943776/ESG+Investing+brochure.pdf/bcac11cb-872b-fe75-34b3-2eaca4526237","title":"Introducing ESG investing","URL":"https://www.msci.com/documents/1296102/7943776/ESG+Investing+brochure.pdf/bcac11cb-872b-fe75-34b3-2eaca4526237","author":[{"family":"MSCI","given":""}],"issued":{"date-parts":[["2018"]]}}}],"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(MSCI, 2018)</w:t>
      </w:r>
      <w:r w:rsidRPr="007E723C">
        <w:rPr>
          <w:rFonts w:ascii="Georgia" w:hAnsi="Georgia" w:cs="Times New Roman"/>
          <w:sz w:val="24"/>
          <w:szCs w:val="24"/>
        </w:rPr>
        <w:fldChar w:fldCharType="end"/>
      </w:r>
      <w:r w:rsidRPr="007E723C">
        <w:rPr>
          <w:rFonts w:ascii="Georgia" w:hAnsi="Georgia" w:cs="Times New Roman"/>
          <w:sz w:val="24"/>
          <w:szCs w:val="24"/>
        </w:rPr>
        <w:t>.</w:t>
      </w:r>
    </w:p>
    <w:p w14:paraId="43DC3E1E" w14:textId="51AD412C" w:rsidR="00CE0A16" w:rsidRPr="007E723C" w:rsidRDefault="00CE0A16" w:rsidP="00CE0A16">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harmadik fő indíttatást a </w:t>
      </w:r>
      <w:r w:rsidRPr="007E723C">
        <w:rPr>
          <w:rFonts w:ascii="Georgia" w:hAnsi="Georgia" w:cs="Times New Roman"/>
          <w:i/>
          <w:iCs/>
          <w:sz w:val="24"/>
          <w:szCs w:val="24"/>
        </w:rPr>
        <w:t xml:space="preserve">pozitív befolyás </w:t>
      </w:r>
      <w:r w:rsidRPr="007E723C">
        <w:rPr>
          <w:rFonts w:ascii="Georgia" w:hAnsi="Georgia" w:cs="Times New Roman"/>
          <w:sz w:val="24"/>
          <w:szCs w:val="24"/>
        </w:rPr>
        <w:t xml:space="preserve">adja, ami azt jelenti, hogy a befektetők tudatosan és direkt módon olyan vállalatokba fektetik pénzüket, amelyek tevékenységük révén </w:t>
      </w:r>
      <w:r w:rsidR="00E638F8" w:rsidRPr="007E723C">
        <w:rPr>
          <w:rFonts w:ascii="Georgia" w:hAnsi="Georgia" w:cs="Times New Roman"/>
          <w:sz w:val="24"/>
          <w:szCs w:val="24"/>
        </w:rPr>
        <w:t xml:space="preserve">az </w:t>
      </w:r>
      <w:r w:rsidRPr="007E723C">
        <w:rPr>
          <w:rFonts w:ascii="Georgia" w:hAnsi="Georgia" w:cs="Times New Roman"/>
          <w:sz w:val="24"/>
          <w:szCs w:val="24"/>
        </w:rPr>
        <w:t xml:space="preserve">emberi közjó növelésére és a környezet megóvására törekszenek. Itt főleg olyan gazdasági társaságokról beszélhetünk, melyek felveszik a harcot a különböző környezeti és szociális problémákkal, veszélyekkel. A befektetők célja tehát ebben az esetben az, hogy a befektetésük pozitív pénzügyi hatásai mellett vagyonukkal hozzájáruljanak, </w:t>
      </w:r>
      <w:r w:rsidR="00E638F8" w:rsidRPr="007E723C">
        <w:rPr>
          <w:rFonts w:ascii="Georgia" w:hAnsi="Georgia" w:cs="Times New Roman"/>
          <w:sz w:val="24"/>
          <w:szCs w:val="24"/>
        </w:rPr>
        <w:t xml:space="preserve">vagy legalább </w:t>
      </w:r>
      <w:r w:rsidRPr="007E723C">
        <w:rPr>
          <w:rFonts w:ascii="Georgia" w:hAnsi="Georgia" w:cs="Times New Roman"/>
          <w:sz w:val="24"/>
          <w:szCs w:val="24"/>
        </w:rPr>
        <w:t xml:space="preserve">pozitívan befolyásolják azt, hogy a világ egy jobb és élhetőbb hely legyen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{"citationID":"LNUOqqnJ","properties":{"formattedCitation":"(MSCI, 2018)","plainCitation":"(MSCI, 2018)","noteIndex":0},"citationItems":[{"id":627,"uris":["http://zotero.org/users/9445126/items/T485QZKI"],"itemData":{"id":627,"type":"post","container-title":"https://www.msci.com/documents/1296102/7943776/ESG+Investing+brochure.pdf/bcac11cb-872b-fe75-34b3-2eaca4526237","title":"Introducing ESG investing","URL":"https://www.msci.com/documents/1296102/7943776/ESG+Investing+brochure.pdf/bcac11cb-872b-fe75-34b3-2eaca4526237","author":[{"family":"MSCI","given":""}],"issued":{"date-parts":[["2018"]]}}}],"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(MSCI, 2018)</w:t>
      </w:r>
      <w:r w:rsidRPr="007E723C">
        <w:rPr>
          <w:rFonts w:ascii="Georgia" w:hAnsi="Georgia" w:cs="Times New Roman"/>
          <w:sz w:val="24"/>
          <w:szCs w:val="24"/>
        </w:rPr>
        <w:fldChar w:fldCharType="end"/>
      </w:r>
      <w:r w:rsidRPr="007E723C">
        <w:rPr>
          <w:rFonts w:ascii="Georgia" w:hAnsi="Georgia" w:cs="Times New Roman"/>
          <w:sz w:val="24"/>
          <w:szCs w:val="24"/>
        </w:rPr>
        <w:t>.</w:t>
      </w:r>
    </w:p>
    <w:p w14:paraId="328415F3" w14:textId="38B13074" w:rsidR="00973E8D" w:rsidRPr="007E723C" w:rsidRDefault="00037806" w:rsidP="00973E8D">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fent említett indokon túl Amel-Zadeh és Serafeim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{"citationID":"73oESkSN","properties":{"formattedCitation":"(2018)","plainCitation":"(2018)","noteIndex":0},"citationItems":[{"id":657,"uris":["http://zotero.org/users/9445126/items/XC3R4Q22"],"itemData":{"id":657,"type":"article-journal","container-title":"Financial Analysts Journal","issue":"3","note":"publisher: Taylor &amp; Francis","page":"87–103","source":"Google Scholar","title":"Why and how investors use ESG information: Evidence from a global survey","title-short":"Why and how investors use ESG information","volume":"74","author":[{"family":"Amel-Zadeh","given":"Amir"},{"family":"Serafeim","given":"George"}],"issued":{"date-parts":[["2018"]]}},"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(2018)</w:t>
      </w:r>
      <w:r w:rsidRPr="007E723C">
        <w:rPr>
          <w:rFonts w:ascii="Georgia" w:hAnsi="Georgia" w:cs="Times New Roman"/>
          <w:sz w:val="24"/>
          <w:szCs w:val="24"/>
        </w:rPr>
        <w:fldChar w:fldCharType="end"/>
      </w:r>
      <w:r w:rsidRPr="007E723C">
        <w:rPr>
          <w:rFonts w:ascii="Georgia" w:hAnsi="Georgia" w:cs="Times New Roman"/>
          <w:sz w:val="24"/>
          <w:szCs w:val="24"/>
        </w:rPr>
        <w:t xml:space="preserve"> kísérletet tettek arra, hogy azonosítsák azokat a tényezőket, amelyek megmagyarázzák, hogy a befektetők miért használják</w:t>
      </w:r>
      <w:r w:rsidR="00E638F8" w:rsidRPr="007E723C">
        <w:rPr>
          <w:rFonts w:ascii="Georgia" w:hAnsi="Georgia" w:cs="Times New Roman"/>
          <w:sz w:val="24"/>
          <w:szCs w:val="24"/>
        </w:rPr>
        <w:t xml:space="preserve"> vagy hagyják éppen figyelmen kívül </w:t>
      </w:r>
      <w:r w:rsidRPr="007E723C">
        <w:rPr>
          <w:rFonts w:ascii="Georgia" w:hAnsi="Georgia" w:cs="Times New Roman"/>
          <w:sz w:val="24"/>
          <w:szCs w:val="24"/>
        </w:rPr>
        <w:t>az ESG szempontokat finanszírozási döntéseik sorá</w:t>
      </w:r>
      <w:r w:rsidR="00E638F8" w:rsidRPr="007E723C">
        <w:rPr>
          <w:rFonts w:ascii="Georgia" w:hAnsi="Georgia" w:cs="Times New Roman"/>
          <w:sz w:val="24"/>
          <w:szCs w:val="24"/>
        </w:rPr>
        <w:t>n</w:t>
      </w:r>
      <w:r w:rsidRPr="007E723C">
        <w:rPr>
          <w:rFonts w:ascii="Georgia" w:hAnsi="Georgia" w:cs="Times New Roman"/>
          <w:sz w:val="24"/>
          <w:szCs w:val="24"/>
        </w:rPr>
        <w:t xml:space="preserve">. Kutatásuk </w:t>
      </w:r>
      <w:r w:rsidR="00E638F8" w:rsidRPr="007E723C">
        <w:rPr>
          <w:rFonts w:ascii="Georgia" w:hAnsi="Georgia" w:cs="Times New Roman"/>
          <w:sz w:val="24"/>
          <w:szCs w:val="24"/>
        </w:rPr>
        <w:t>eredményeként</w:t>
      </w:r>
      <w:r w:rsidRPr="007E723C">
        <w:rPr>
          <w:rFonts w:ascii="Georgia" w:hAnsi="Georgia" w:cs="Times New Roman"/>
          <w:sz w:val="24"/>
          <w:szCs w:val="24"/>
        </w:rPr>
        <w:t xml:space="preserve"> arra jutottak, hogy a megkérdezettek több, mint 80%-át</w:t>
      </w:r>
      <w:r w:rsidR="00E638F8" w:rsidRPr="007E723C">
        <w:rPr>
          <w:rFonts w:ascii="Georgia" w:hAnsi="Georgia" w:cs="Times New Roman"/>
          <w:sz w:val="24"/>
          <w:szCs w:val="24"/>
        </w:rPr>
        <w:t xml:space="preserve"> csupán</w:t>
      </w:r>
      <w:r w:rsidRPr="007E723C">
        <w:rPr>
          <w:rFonts w:ascii="Georgia" w:hAnsi="Georgia" w:cs="Times New Roman"/>
          <w:sz w:val="24"/>
          <w:szCs w:val="24"/>
        </w:rPr>
        <w:t xml:space="preserve"> a </w:t>
      </w:r>
      <w:r w:rsidR="00A83281" w:rsidRPr="007E723C">
        <w:rPr>
          <w:rFonts w:ascii="Georgia" w:hAnsi="Georgia" w:cs="Times New Roman"/>
          <w:sz w:val="24"/>
          <w:szCs w:val="24"/>
        </w:rPr>
        <w:t xml:space="preserve">fenntarthatósághoz kapcsolódó </w:t>
      </w:r>
      <w:r w:rsidRPr="007E723C">
        <w:rPr>
          <w:rFonts w:ascii="Georgia" w:hAnsi="Georgia" w:cs="Times New Roman"/>
          <w:sz w:val="24"/>
          <w:szCs w:val="24"/>
        </w:rPr>
        <w:t>pénzügyi hasznok motiválják</w:t>
      </w:r>
      <w:r w:rsidR="00A83281" w:rsidRPr="007E723C">
        <w:rPr>
          <w:rFonts w:ascii="Georgia" w:hAnsi="Georgia" w:cs="Times New Roman"/>
          <w:sz w:val="24"/>
          <w:szCs w:val="24"/>
        </w:rPr>
        <w:t xml:space="preserve">, ami lényegében megfeleltethető az MSCI </w:t>
      </w:r>
      <w:r w:rsidR="00A83281" w:rsidRPr="007E723C">
        <w:rPr>
          <w:rFonts w:ascii="Georgia" w:hAnsi="Georgia" w:cs="Times New Roman"/>
          <w:sz w:val="24"/>
          <w:szCs w:val="24"/>
        </w:rPr>
        <w:fldChar w:fldCharType="begin"/>
      </w:r>
      <w:r w:rsidR="00A83281" w:rsidRPr="007E723C">
        <w:rPr>
          <w:rFonts w:ascii="Georgia" w:hAnsi="Georgia" w:cs="Times New Roman"/>
          <w:sz w:val="24"/>
          <w:szCs w:val="24"/>
        </w:rPr>
        <w:instrText xml:space="preserve"> ADDIN ZOTERO_ITEM CSL_CITATION {"citationID":"h0LVy3sB","properties":{"formattedCitation":"(2018)","plainCitation":"(2018)","noteIndex":0},"citationItems":[{"id":627,"uris":["http://zotero.org/users/9445126/items/T485QZKI"],"itemData":{"id":627,"type":"post","container-title":"https://www.msci.com/documents/1296102/7943776/ESG+Investing+brochure.pdf/bcac11cb-872b-fe75-34b3-2eaca4526237","title":"Introducing ESG investing","URL":"https://www.msci.com/documents/1296102/7943776/ESG+Investing+brochure.pdf/bcac11cb-872b-fe75-34b3-2eaca4526237","author":[{"family":"MSCI","given":""}],"issued":{"date-parts":[["2018"]]}},"label":"page","suppress-author":true}],"schema":"https://github.com/citation-style-language/schema/raw/master/csl-citation.json"} </w:instrText>
      </w:r>
      <w:r w:rsidR="00A83281" w:rsidRPr="007E723C">
        <w:rPr>
          <w:rFonts w:ascii="Georgia" w:hAnsi="Georgia" w:cs="Times New Roman"/>
          <w:sz w:val="24"/>
          <w:szCs w:val="24"/>
        </w:rPr>
        <w:fldChar w:fldCharType="separate"/>
      </w:r>
      <w:r w:rsidR="00A83281" w:rsidRPr="007E723C">
        <w:rPr>
          <w:rFonts w:ascii="Georgia" w:hAnsi="Georgia" w:cs="Times New Roman"/>
          <w:sz w:val="24"/>
          <w:szCs w:val="24"/>
        </w:rPr>
        <w:t>(2018)</w:t>
      </w:r>
      <w:r w:rsidR="00A83281" w:rsidRPr="007E723C">
        <w:rPr>
          <w:rFonts w:ascii="Georgia" w:hAnsi="Georgia" w:cs="Times New Roman"/>
          <w:sz w:val="24"/>
          <w:szCs w:val="24"/>
        </w:rPr>
        <w:fldChar w:fldCharType="end"/>
      </w:r>
      <w:r w:rsidR="00A83281" w:rsidRPr="007E723C">
        <w:rPr>
          <w:rFonts w:ascii="Georgia" w:hAnsi="Georgia" w:cs="Times New Roman"/>
          <w:sz w:val="24"/>
          <w:szCs w:val="24"/>
        </w:rPr>
        <w:t xml:space="preserve"> első motivációs tényezőjének (integráció)</w:t>
      </w:r>
      <w:r w:rsidRPr="007E723C">
        <w:rPr>
          <w:rFonts w:ascii="Georgia" w:hAnsi="Georgia" w:cs="Times New Roman"/>
          <w:sz w:val="24"/>
          <w:szCs w:val="24"/>
        </w:rPr>
        <w:t>. Emellett</w:t>
      </w:r>
      <w:r w:rsidR="00A83281" w:rsidRPr="007E723C">
        <w:rPr>
          <w:rFonts w:ascii="Georgia" w:hAnsi="Georgia" w:cs="Times New Roman"/>
          <w:sz w:val="24"/>
          <w:szCs w:val="24"/>
        </w:rPr>
        <w:t xml:space="preserve"> Amel-Zadeh és Serafeim </w:t>
      </w:r>
      <w:r w:rsidR="00A83281" w:rsidRPr="007E723C">
        <w:rPr>
          <w:rFonts w:ascii="Georgia" w:hAnsi="Georgia" w:cs="Times New Roman"/>
          <w:sz w:val="24"/>
          <w:szCs w:val="24"/>
        </w:rPr>
        <w:fldChar w:fldCharType="begin"/>
      </w:r>
      <w:r w:rsidR="00A83281" w:rsidRPr="007E723C">
        <w:rPr>
          <w:rFonts w:ascii="Georgia" w:hAnsi="Georgia" w:cs="Times New Roman"/>
          <w:sz w:val="24"/>
          <w:szCs w:val="24"/>
        </w:rPr>
        <w:instrText xml:space="preserve"> ADDIN ZOTERO_ITEM CSL_CITATION {"citationID":"d8g8hRGh","properties":{"formattedCitation":"(2018)","plainCitation":"(2018)","noteIndex":0},"citationItems":[{"id":657,"uris":["http://zotero.org/users/9445126/items/XC3R4Q22"],"itemData":{"id":657,"type":"article-journal","container-title":"Financial Analysts Journal","issue":"3","note":"publisher: Taylor &amp; Francis","page":"87–103","source":"Google Scholar","title":"Why and how investors use ESG information: Evidence from a global survey","title-short":"Why and how investors use ESG information","volume":"74","author":[{"family":"Amel-Zadeh","given":"Amir"},{"family":"Serafeim","given":"George"}],"issued":{"date-parts":[["2018"]]}},"label":"page","suppress-author":true}],"schema":"https://github.com/citation-style-language/schema/raw/master/csl-citation.json"} </w:instrText>
      </w:r>
      <w:r w:rsidR="00A83281" w:rsidRPr="007E723C">
        <w:rPr>
          <w:rFonts w:ascii="Georgia" w:hAnsi="Georgia" w:cs="Times New Roman"/>
          <w:sz w:val="24"/>
          <w:szCs w:val="24"/>
        </w:rPr>
        <w:fldChar w:fldCharType="separate"/>
      </w:r>
      <w:r w:rsidR="00A83281" w:rsidRPr="007E723C">
        <w:rPr>
          <w:rFonts w:ascii="Georgia" w:hAnsi="Georgia" w:cs="Times New Roman"/>
          <w:sz w:val="24"/>
          <w:szCs w:val="24"/>
        </w:rPr>
        <w:t>(2018)</w:t>
      </w:r>
      <w:r w:rsidR="00A83281" w:rsidRPr="007E723C">
        <w:rPr>
          <w:rFonts w:ascii="Georgia" w:hAnsi="Georgia" w:cs="Times New Roman"/>
          <w:sz w:val="24"/>
          <w:szCs w:val="24"/>
        </w:rPr>
        <w:fldChar w:fldCharType="end"/>
      </w:r>
      <w:r w:rsidR="00A83281" w:rsidRPr="007E723C">
        <w:rPr>
          <w:rFonts w:ascii="Georgia" w:hAnsi="Georgia" w:cs="Times New Roman"/>
          <w:sz w:val="24"/>
          <w:szCs w:val="24"/>
        </w:rPr>
        <w:t xml:space="preserve"> </w:t>
      </w:r>
      <w:r w:rsidRPr="007E723C">
        <w:rPr>
          <w:rFonts w:ascii="Georgia" w:hAnsi="Georgia" w:cs="Times New Roman"/>
          <w:sz w:val="24"/>
          <w:szCs w:val="24"/>
        </w:rPr>
        <w:t xml:space="preserve"> azonosított</w:t>
      </w:r>
      <w:r w:rsidR="00A83281" w:rsidRPr="007E723C">
        <w:rPr>
          <w:rFonts w:ascii="Georgia" w:hAnsi="Georgia" w:cs="Times New Roman"/>
          <w:sz w:val="24"/>
          <w:szCs w:val="24"/>
        </w:rPr>
        <w:t>a</w:t>
      </w:r>
      <w:r w:rsidRPr="007E723C">
        <w:rPr>
          <w:rFonts w:ascii="Georgia" w:hAnsi="Georgia" w:cs="Times New Roman"/>
          <w:sz w:val="24"/>
          <w:szCs w:val="24"/>
        </w:rPr>
        <w:t xml:space="preserve"> azt is, hogy a befektetők úgy gondolják, hogy az ESG teljesítmény egyfajta jelzője lehet a vállalat reputációs, jogi és szabályozási kockázatainak. Mások válaszaiból </w:t>
      </w:r>
      <w:r w:rsidR="00A83281" w:rsidRPr="007E723C">
        <w:rPr>
          <w:rFonts w:ascii="Georgia" w:hAnsi="Georgia" w:cs="Times New Roman"/>
          <w:sz w:val="24"/>
          <w:szCs w:val="24"/>
        </w:rPr>
        <w:t xml:space="preserve">pedig </w:t>
      </w:r>
      <w:r w:rsidRPr="007E723C">
        <w:rPr>
          <w:rFonts w:ascii="Georgia" w:hAnsi="Georgia" w:cs="Times New Roman"/>
          <w:sz w:val="24"/>
          <w:szCs w:val="24"/>
        </w:rPr>
        <w:t xml:space="preserve">arra következtettek, hogy vannak olyan ESG tényezők, mint például a korrupcióellenesség, a klímaváltozás vagy az energiagazdálkodás, ami bizonyos szektorok esetében (pl.: pénzügyi, energia) olyan lényeges szempontot jelentenek, melyek a befektetők finanszírozási </w:t>
      </w:r>
      <w:r w:rsidRPr="007E723C">
        <w:rPr>
          <w:rFonts w:ascii="Georgia" w:hAnsi="Georgia" w:cs="Times New Roman"/>
          <w:sz w:val="24"/>
          <w:szCs w:val="24"/>
        </w:rPr>
        <w:lastRenderedPageBreak/>
        <w:t>döntéseit nagyban meghatározzák. A kutatásból továbbá az is kiderült, hogy az ESG adat integrálásának nehézségei miatt több befektető is úgy gondolja, hogy nem tudja megfelelően alkalmazni ezeket az információkat a döntéshozatal során. Itt többek között olyan problémákat jelöltek meg, mint összehasonlíthatóság, megbízhatóság és szabályozottság hiánya</w:t>
      </w:r>
      <w:r w:rsidR="00A83281" w:rsidRPr="007E723C">
        <w:rPr>
          <w:rFonts w:ascii="Georgia" w:hAnsi="Georgia" w:cs="Times New Roman"/>
          <w:sz w:val="24"/>
          <w:szCs w:val="24"/>
        </w:rPr>
        <w:t>, amelynek feltárása ennek a dolgozatnak is a fő fókuszát adj</w:t>
      </w:r>
      <w:r w:rsidR="002B185F">
        <w:rPr>
          <w:rFonts w:ascii="Georgia" w:hAnsi="Georgia" w:cs="Times New Roman"/>
          <w:sz w:val="24"/>
          <w:szCs w:val="24"/>
        </w:rPr>
        <w:t>a</w:t>
      </w:r>
      <w:r w:rsidRPr="007E723C">
        <w:rPr>
          <w:rFonts w:ascii="Georgia" w:hAnsi="Georgia" w:cs="Times New Roman"/>
          <w:sz w:val="24"/>
          <w:szCs w:val="24"/>
        </w:rPr>
        <w:t>. Emellett még arra is hivatkoztak</w:t>
      </w:r>
      <w:r w:rsidR="00A83281" w:rsidRPr="007E723C">
        <w:rPr>
          <w:rFonts w:ascii="Georgia" w:hAnsi="Georgia" w:cs="Times New Roman"/>
          <w:sz w:val="24"/>
          <w:szCs w:val="24"/>
        </w:rPr>
        <w:t xml:space="preserve"> a szerzők</w:t>
      </w:r>
      <w:r w:rsidRPr="007E723C">
        <w:rPr>
          <w:rFonts w:ascii="Georgia" w:hAnsi="Georgia" w:cs="Times New Roman"/>
          <w:sz w:val="24"/>
          <w:szCs w:val="24"/>
        </w:rPr>
        <w:t xml:space="preserve">, hogy az ESG adatokhoz való hozzáférés is sok időt és energiát emészt fel. Más befektetők, akik a fenti hiányosságok ellenére megbíznak az ESG információkban, főleg vállalatértékelési modellek inputjaként vagy összehasonlító elemzésekhez használják fel az ESG adatokat. </w:t>
      </w:r>
    </w:p>
    <w:p w14:paraId="6655A0F8" w14:textId="5E02A358" w:rsidR="00F037EC" w:rsidRPr="007E723C" w:rsidRDefault="00037806" w:rsidP="00EA244A">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Nagy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{"citationID":"9PbftWqt","properties":{"formattedCitation":"(2020)","plainCitation":"(2020)","noteIndex":0},"citationItems":[{"id":665,"uris":["http://zotero.org/users/9445126/items/9HSTWFT3"],"itemData":{"id":665,"type":"speech","event-place":"BÉT Kibocsátói Fórum","publisher-place":"BÉT Kibocsátói Fórum","title":"ESG: a miérttől a hogyanig","URL":"https://www.bet.hu/pfile/file?path=/site/Magyar/Dokumentumok/Rolunk/bet-campus/esg-szakmai-forum---07.16./MSCI_Nagy_Zoltan.pdf1","author":[{"family":"Nagy","given":"Zoltán"}],"issued":{"date-parts":[["2020"]]}},"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(2020)</w:t>
      </w:r>
      <w:r w:rsidRPr="007E723C">
        <w:rPr>
          <w:rFonts w:ascii="Georgia" w:hAnsi="Georgia" w:cs="Times New Roman"/>
          <w:sz w:val="24"/>
          <w:szCs w:val="24"/>
        </w:rPr>
        <w:fldChar w:fldCharType="end"/>
      </w:r>
      <w:r w:rsidRPr="007E723C">
        <w:rPr>
          <w:rFonts w:ascii="Georgia" w:hAnsi="Georgia" w:cs="Times New Roman"/>
          <w:sz w:val="24"/>
          <w:szCs w:val="24"/>
        </w:rPr>
        <w:t xml:space="preserve"> </w:t>
      </w:r>
      <w:r w:rsidR="00A83281" w:rsidRPr="007E723C">
        <w:rPr>
          <w:rFonts w:ascii="Georgia" w:hAnsi="Georgia" w:cs="Times New Roman"/>
          <w:sz w:val="24"/>
          <w:szCs w:val="24"/>
        </w:rPr>
        <w:t>négy</w:t>
      </w:r>
      <w:r w:rsidRPr="007E723C">
        <w:rPr>
          <w:rFonts w:ascii="Georgia" w:hAnsi="Georgia" w:cs="Times New Roman"/>
          <w:sz w:val="24"/>
          <w:szCs w:val="24"/>
        </w:rPr>
        <w:t xml:space="preserve"> további motivációs tényezőt azonosított, amely válaszul szolgálhat arra, hogy miért is váltak ennyire elterjedté az utóbbi években az ESG befektetések. Egyfelől a befektetők egyre kevésbé tolerálják azokat az incidenseket, botrányokat, amelyek fenntarthatósági szempontokat is érintenek (pl.: Volkswagen botrány), így pénzüket olyan vállalatokba igyekeznek fektetni, melyek ESG teljesítménye pozitív képet mutat. Másfelől az ESG befektetések alkalmasak arra is, hogy kifejezzék az adott finanszírozó értékrendjét, így egy felelős, etikus befektetés jó jelzője lehet annak, hogy a befektető tenni szeretne valamit a fenntartható fejlődés érdekében. </w:t>
      </w:r>
      <w:r w:rsidR="00A83281" w:rsidRPr="007E723C">
        <w:rPr>
          <w:rFonts w:ascii="Georgia" w:hAnsi="Georgia" w:cs="Times New Roman"/>
          <w:sz w:val="24"/>
          <w:szCs w:val="24"/>
        </w:rPr>
        <w:t xml:space="preserve">Ez a kategória teljesen egybevág az MSCI </w:t>
      </w:r>
      <w:r w:rsidR="00A83281" w:rsidRPr="007E723C">
        <w:rPr>
          <w:rFonts w:ascii="Georgia" w:hAnsi="Georgia" w:cs="Times New Roman"/>
          <w:sz w:val="24"/>
          <w:szCs w:val="24"/>
        </w:rPr>
        <w:fldChar w:fldCharType="begin"/>
      </w:r>
      <w:r w:rsidR="00A83281" w:rsidRPr="007E723C">
        <w:rPr>
          <w:rFonts w:ascii="Georgia" w:hAnsi="Georgia" w:cs="Times New Roman"/>
          <w:sz w:val="24"/>
          <w:szCs w:val="24"/>
        </w:rPr>
        <w:instrText xml:space="preserve"> ADDIN ZOTERO_ITEM CSL_CITATION {"citationID":"YzimxrHh","properties":{"formattedCitation":"(2018)","plainCitation":"(2018)","noteIndex":0},"citationItems":[{"id":627,"uris":["http://zotero.org/users/9445126/items/T485QZKI"],"itemData":{"id":627,"type":"post","container-title":"https://www.msci.com/documents/1296102/7943776/ESG+Investing+brochure.pdf/bcac11cb-872b-fe75-34b3-2eaca4526237","title":"Introducing ESG investing","URL":"https://www.msci.com/documents/1296102/7943776/ESG+Investing+brochure.pdf/bcac11cb-872b-fe75-34b3-2eaca4526237","author":[{"family":"MSCI","given":""}],"issued":{"date-parts":[["2018"]]}},"label":"page","suppress-author":true}],"schema":"https://github.com/citation-style-language/schema/raw/master/csl-citation.json"} </w:instrText>
      </w:r>
      <w:r w:rsidR="00A83281" w:rsidRPr="007E723C">
        <w:rPr>
          <w:rFonts w:ascii="Georgia" w:hAnsi="Georgia" w:cs="Times New Roman"/>
          <w:sz w:val="24"/>
          <w:szCs w:val="24"/>
        </w:rPr>
        <w:fldChar w:fldCharType="separate"/>
      </w:r>
      <w:r w:rsidR="00A83281" w:rsidRPr="007E723C">
        <w:rPr>
          <w:rFonts w:ascii="Georgia" w:hAnsi="Georgia" w:cs="Times New Roman"/>
          <w:sz w:val="24"/>
          <w:szCs w:val="24"/>
        </w:rPr>
        <w:t>(2018)</w:t>
      </w:r>
      <w:r w:rsidR="00A83281" w:rsidRPr="007E723C">
        <w:rPr>
          <w:rFonts w:ascii="Georgia" w:hAnsi="Georgia" w:cs="Times New Roman"/>
          <w:sz w:val="24"/>
          <w:szCs w:val="24"/>
        </w:rPr>
        <w:fldChar w:fldCharType="end"/>
      </w:r>
      <w:r w:rsidR="00A83281" w:rsidRPr="007E723C">
        <w:rPr>
          <w:rFonts w:ascii="Georgia" w:hAnsi="Georgia" w:cs="Times New Roman"/>
          <w:sz w:val="24"/>
          <w:szCs w:val="24"/>
        </w:rPr>
        <w:t xml:space="preserve"> második azonosított motivációs tényezőjével (személyes értékrend) </w:t>
      </w:r>
      <w:r w:rsidRPr="007E723C">
        <w:rPr>
          <w:rFonts w:ascii="Georgia" w:hAnsi="Georgia" w:cs="Times New Roman"/>
          <w:sz w:val="24"/>
          <w:szCs w:val="24"/>
        </w:rPr>
        <w:t xml:space="preserve">Egy további tényező, melyet Nagy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{"citationID":"oyBfGX5y","properties":{"formattedCitation":"(2020)","plainCitation":"(2020)","noteIndex":0},"citationItems":[{"id":665,"uris":["http://zotero.org/users/9445126/items/9HSTWFT3"],"itemData":{"id":665,"type":"speech","event-place":"BÉT Kibocsátói Fórum","publisher-place":"BÉT Kibocsátói Fórum","title":"ESG: a miérttől a hogyanig","URL":"https://www.bet.hu/pfile/file?path=/site/Magyar/Dokumentumok/Rolunk/bet-campus/esg-szakmai-forum---07.16./MSCI_Nagy_Zoltan.pdf1","author":[{"family":"Nagy","given":"Zoltán"}],"issued":{"date-parts":[["2020"]]}},"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(2020)</w:t>
      </w:r>
      <w:r w:rsidRPr="007E723C">
        <w:rPr>
          <w:rFonts w:ascii="Georgia" w:hAnsi="Georgia" w:cs="Times New Roman"/>
          <w:sz w:val="24"/>
          <w:szCs w:val="24"/>
        </w:rPr>
        <w:fldChar w:fldCharType="end"/>
      </w:r>
      <w:r w:rsidRPr="007E723C">
        <w:rPr>
          <w:rFonts w:ascii="Georgia" w:hAnsi="Georgia" w:cs="Times New Roman"/>
          <w:sz w:val="24"/>
          <w:szCs w:val="24"/>
        </w:rPr>
        <w:t xml:space="preserve"> azonosított, a pénzügyi hasznokra utal, de emellett az ESG adatok és minősítések fejlődése is vonzóbbá teheti a az ESG befektetéseket. </w:t>
      </w:r>
    </w:p>
    <w:p w14:paraId="5DFAB64E" w14:textId="51EDDEA6" w:rsidR="008C25BA" w:rsidRPr="007E723C" w:rsidRDefault="008C25BA" w:rsidP="00FF7AC9">
      <w:pPr>
        <w:pStyle w:val="Cmsor2"/>
        <w:numPr>
          <w:ilvl w:val="1"/>
          <w:numId w:val="3"/>
        </w:numPr>
        <w:spacing w:after="160"/>
        <w:ind w:left="1134" w:hanging="578"/>
        <w:rPr>
          <w:rFonts w:ascii="Georgia" w:hAnsi="Georgia" w:cs="Times New Roman"/>
          <w:b/>
          <w:bCs/>
          <w:color w:val="auto"/>
          <w:sz w:val="24"/>
          <w:szCs w:val="24"/>
        </w:rPr>
      </w:pPr>
      <w:bookmarkStart w:id="13" w:name="_Toc119421172"/>
      <w:r w:rsidRPr="007E723C">
        <w:rPr>
          <w:rFonts w:ascii="Georgia" w:hAnsi="Georgia" w:cs="Times New Roman"/>
          <w:b/>
          <w:bCs/>
          <w:color w:val="auto"/>
          <w:sz w:val="24"/>
          <w:szCs w:val="24"/>
        </w:rPr>
        <w:t>A nem pénzügyi jelentéstétel</w:t>
      </w:r>
      <w:r w:rsidR="009E0776" w:rsidRPr="007E723C">
        <w:rPr>
          <w:rFonts w:ascii="Georgia" w:hAnsi="Georgia" w:cs="Times New Roman"/>
          <w:b/>
          <w:bCs/>
          <w:color w:val="auto"/>
          <w:sz w:val="24"/>
          <w:szCs w:val="24"/>
        </w:rPr>
        <w:t xml:space="preserve"> </w:t>
      </w:r>
      <w:r w:rsidRPr="007E723C">
        <w:rPr>
          <w:rFonts w:ascii="Georgia" w:hAnsi="Georgia" w:cs="Times New Roman"/>
          <w:b/>
          <w:bCs/>
          <w:color w:val="auto"/>
          <w:sz w:val="24"/>
          <w:szCs w:val="24"/>
        </w:rPr>
        <w:t>szabályozói környezete</w:t>
      </w:r>
      <w:bookmarkEnd w:id="13"/>
      <w:r w:rsidRPr="007E723C">
        <w:rPr>
          <w:rFonts w:ascii="Georgia" w:hAnsi="Georgia" w:cs="Times New Roman"/>
          <w:b/>
          <w:bCs/>
          <w:color w:val="auto"/>
          <w:sz w:val="24"/>
          <w:szCs w:val="24"/>
        </w:rPr>
        <w:t xml:space="preserve"> </w:t>
      </w:r>
    </w:p>
    <w:p w14:paraId="23C89F5D" w14:textId="77777777" w:rsidR="00CA7B37" w:rsidRPr="007E723C" w:rsidRDefault="000442D6" w:rsidP="008C25BA">
      <w:pPr>
        <w:spacing w:line="360" w:lineRule="auto"/>
        <w:ind w:firstLine="709"/>
        <w:jc w:val="both"/>
        <w:rPr>
          <w:rFonts w:ascii="Georgia" w:hAnsi="Georgia" w:cs="Times New Roman"/>
          <w:sz w:val="24"/>
          <w:szCs w:val="24"/>
        </w:rPr>
      </w:pPr>
      <w:r w:rsidRPr="007E723C">
        <w:rPr>
          <w:rFonts w:ascii="Georgia" w:hAnsi="Georgia" w:cs="Times New Roman"/>
          <w:sz w:val="24"/>
          <w:szCs w:val="24"/>
        </w:rPr>
        <w:t>Miután</w:t>
      </w:r>
      <w:r w:rsidR="008C25BA" w:rsidRPr="007E723C">
        <w:rPr>
          <w:rFonts w:ascii="Georgia" w:hAnsi="Georgia" w:cs="Times New Roman"/>
          <w:sz w:val="24"/>
          <w:szCs w:val="24"/>
        </w:rPr>
        <w:t xml:space="preserve"> áttekintettük, hogy hogyan jelenik meg a fenntarthatóság a vállalatok és a befektetők életébe</w:t>
      </w:r>
      <w:r w:rsidRPr="007E723C">
        <w:rPr>
          <w:rFonts w:ascii="Georgia" w:hAnsi="Georgia" w:cs="Times New Roman"/>
          <w:sz w:val="24"/>
          <w:szCs w:val="24"/>
        </w:rPr>
        <w:t>n é</w:t>
      </w:r>
      <w:r w:rsidR="008C25BA" w:rsidRPr="007E723C">
        <w:rPr>
          <w:rFonts w:ascii="Georgia" w:hAnsi="Georgia" w:cs="Times New Roman"/>
          <w:sz w:val="24"/>
          <w:szCs w:val="24"/>
        </w:rPr>
        <w:t>rdemes megvizsgálni</w:t>
      </w:r>
      <w:r w:rsidRPr="007E723C">
        <w:rPr>
          <w:rFonts w:ascii="Georgia" w:hAnsi="Georgia" w:cs="Times New Roman"/>
          <w:sz w:val="24"/>
          <w:szCs w:val="24"/>
        </w:rPr>
        <w:t xml:space="preserve"> azt is</w:t>
      </w:r>
      <w:r w:rsidR="008C25BA" w:rsidRPr="007E723C">
        <w:rPr>
          <w:rFonts w:ascii="Georgia" w:hAnsi="Georgia" w:cs="Times New Roman"/>
          <w:sz w:val="24"/>
          <w:szCs w:val="24"/>
        </w:rPr>
        <w:t xml:space="preserve">, hogy a vállalatok fenntarthatósági teljesítményéről hogyan szereznek tudomást a befektetők és más érintettek. Ehhez elősorban célszerű áttekinteni azokat a legfontosabb szabályozásokat, irányelveket, amelyek a vállalatok nem pénzügyi jelentéstételére vonatkoznak. </w:t>
      </w:r>
    </w:p>
    <w:p w14:paraId="3BBD5CF0" w14:textId="3E3DAE75" w:rsidR="00991BB1" w:rsidRPr="007E723C" w:rsidRDefault="00CA7B37" w:rsidP="00386E60">
      <w:pPr>
        <w:spacing w:line="360" w:lineRule="auto"/>
        <w:ind w:firstLine="709"/>
        <w:jc w:val="both"/>
        <w:rPr>
          <w:rFonts w:ascii="Georgia" w:hAnsi="Georgia" w:cs="Times New Roman"/>
          <w:sz w:val="24"/>
          <w:szCs w:val="24"/>
        </w:rPr>
      </w:pPr>
      <w:r w:rsidRPr="007E723C">
        <w:rPr>
          <w:rFonts w:ascii="Georgia" w:hAnsi="Georgia" w:cs="Times New Roman"/>
          <w:sz w:val="24"/>
          <w:szCs w:val="24"/>
        </w:rPr>
        <w:t>Ahogy korábban is láthattuk a vállalatok fenntarthatósághoz való hozzáállása nagyon sokféle lehet, egyben azonban a legtöbben egyetértenek, a fenntarthatósággal kapcsolatos teljesítményről be kell számolni</w:t>
      </w:r>
      <w:r w:rsidR="0034316C" w:rsidRPr="007E723C">
        <w:rPr>
          <w:rFonts w:ascii="Georgia" w:hAnsi="Georgia" w:cs="Times New Roman"/>
          <w:sz w:val="24"/>
          <w:szCs w:val="24"/>
        </w:rPr>
        <w:t xml:space="preserve"> </w:t>
      </w:r>
      <w:r w:rsidR="0034316C" w:rsidRPr="007E723C">
        <w:rPr>
          <w:rFonts w:ascii="Georgia" w:hAnsi="Georgia" w:cs="Times New Roman"/>
          <w:sz w:val="24"/>
          <w:szCs w:val="24"/>
        </w:rPr>
        <w:fldChar w:fldCharType="begin"/>
      </w:r>
      <w:r w:rsidR="0034316C" w:rsidRPr="007E723C">
        <w:rPr>
          <w:rFonts w:ascii="Georgia" w:hAnsi="Georgia" w:cs="Times New Roman"/>
          <w:sz w:val="24"/>
          <w:szCs w:val="24"/>
        </w:rPr>
        <w:instrText xml:space="preserve"> ADDIN ZOTERO_ITEM CSL_CITATION {"citationID":"99RRlR9u","properties":{"formattedCitation":"(Landrum &amp; Ohsowski, 2018)","plainCitation":"(Landrum &amp; Ohsowski, 2018)","noteIndex":0},"citationItems":[{"id":715,"uris":["http://zotero.org/users/9445126/items/9EF293E4"],"itemData":{"id":715,"type":"article-journal","abstract":"Companies commonly issue sustainability or corporate social responsibility (CSR) reports. This study seeks to understand worldviews of corporate sustainability, or the corporate message conveyed regarding what sustainability or CSR is and how to enact it. Content analysis of corporate sustainability reports is used to position each company report within stages of corporate sustainability. Results reveal that there are multiple coexisting worldviews of corporate sustainability, but the most dominant worldview is focused on the business case for sustainability, a position anchored in the weak sustainability paradigm. We contend that the business case and weak sustainability advanced in corporate sustainability reports and by the Global Reporting Initiative are poor representations of sustainability. Ecological embeddedness, or a locally responsive strategy that is sensitive to local ecosystems, may hold the key to improved ecological sensemaking, which in turn could lead to more mature levels of corporate sustainability worldviews that support strong sustainability and are rooted in environmental science. This must be supported by government regulation. Copyright © 2017 John Wiley &amp; Sons, Ltd and ERP Environment","container-title":"Business Strategy and the Environment","DOI":"10.1002/bse.1989","ISSN":"1099-0836","issue":"1","language":"en","note":"_eprint: https://onlinelibrary.wiley.com/doi/pdf/10.1002/bse.1989","page":"128-151","source":"Wiley Online Library","title":"Identifying Worldviews on Corporate Sustainability: A Content Analysis of Corporate Sustainability Reports","title-short":"Identifying Worldviews on Corporate Sustainability","volume":"27","author":[{"family":"Landrum","given":"Nancy E."},{"family":"Ohsowski","given":"Brian"}],"issued":{"date-parts":[["2018"]]}}}],"schema":"https://github.com/citation-style-language/schema/raw/master/csl-citation.json"} </w:instrText>
      </w:r>
      <w:r w:rsidR="0034316C" w:rsidRPr="007E723C">
        <w:rPr>
          <w:rFonts w:ascii="Georgia" w:hAnsi="Georgia" w:cs="Times New Roman"/>
          <w:sz w:val="24"/>
          <w:szCs w:val="24"/>
        </w:rPr>
        <w:fldChar w:fldCharType="separate"/>
      </w:r>
      <w:r w:rsidR="0034316C" w:rsidRPr="007E723C">
        <w:rPr>
          <w:rFonts w:ascii="Georgia" w:hAnsi="Georgia" w:cs="Times New Roman"/>
          <w:sz w:val="24"/>
          <w:szCs w:val="24"/>
        </w:rPr>
        <w:t xml:space="preserve">(Landrum &amp; </w:t>
      </w:r>
      <w:r w:rsidR="0034316C" w:rsidRPr="007E723C">
        <w:rPr>
          <w:rFonts w:ascii="Georgia" w:hAnsi="Georgia" w:cs="Times New Roman"/>
          <w:sz w:val="24"/>
          <w:szCs w:val="24"/>
        </w:rPr>
        <w:lastRenderedPageBreak/>
        <w:t>Ohsowski, 2018)</w:t>
      </w:r>
      <w:r w:rsidR="0034316C" w:rsidRPr="007E723C">
        <w:rPr>
          <w:rFonts w:ascii="Georgia" w:hAnsi="Georgia" w:cs="Times New Roman"/>
          <w:sz w:val="24"/>
          <w:szCs w:val="24"/>
        </w:rPr>
        <w:fldChar w:fldCharType="end"/>
      </w:r>
      <w:r w:rsidRPr="007E723C">
        <w:rPr>
          <w:rFonts w:ascii="Georgia" w:hAnsi="Georgia" w:cs="Times New Roman"/>
          <w:sz w:val="24"/>
          <w:szCs w:val="24"/>
        </w:rPr>
        <w:t>. Nem véletlen tehát, hogy mind a befektetők, mind a döntéshozók számára egyre inkább</w:t>
      </w:r>
      <w:r w:rsidR="00FB6ABC" w:rsidRPr="007E723C">
        <w:rPr>
          <w:rFonts w:ascii="Georgia" w:hAnsi="Georgia" w:cs="Times New Roman"/>
          <w:sz w:val="24"/>
          <w:szCs w:val="24"/>
        </w:rPr>
        <w:t xml:space="preserve"> </w:t>
      </w:r>
      <w:r w:rsidR="00991BB1" w:rsidRPr="007E723C">
        <w:rPr>
          <w:rFonts w:ascii="Georgia" w:hAnsi="Georgia" w:cs="Times New Roman"/>
          <w:sz w:val="24"/>
          <w:szCs w:val="24"/>
        </w:rPr>
        <w:t>égető kérdéssé vált</w:t>
      </w:r>
      <w:r w:rsidR="00FA3E5D" w:rsidRPr="007E723C">
        <w:rPr>
          <w:rFonts w:ascii="Georgia" w:hAnsi="Georgia" w:cs="Times New Roman"/>
          <w:sz w:val="24"/>
          <w:szCs w:val="24"/>
        </w:rPr>
        <w:t xml:space="preserve"> annak megválaszolása</w:t>
      </w:r>
      <w:r w:rsidR="00991BB1" w:rsidRPr="007E723C">
        <w:rPr>
          <w:rFonts w:ascii="Georgia" w:hAnsi="Georgia" w:cs="Times New Roman"/>
          <w:sz w:val="24"/>
          <w:szCs w:val="24"/>
        </w:rPr>
        <w:t xml:space="preserve">, hogy tulajdonképpen mit </w:t>
      </w:r>
      <w:r w:rsidR="00FA3E5D" w:rsidRPr="007E723C">
        <w:rPr>
          <w:rFonts w:ascii="Georgia" w:hAnsi="Georgia" w:cs="Times New Roman"/>
          <w:sz w:val="24"/>
          <w:szCs w:val="24"/>
        </w:rPr>
        <w:t xml:space="preserve">is </w:t>
      </w:r>
      <w:r w:rsidR="00991BB1" w:rsidRPr="007E723C">
        <w:rPr>
          <w:rFonts w:ascii="Georgia" w:hAnsi="Georgia" w:cs="Times New Roman"/>
          <w:sz w:val="24"/>
          <w:szCs w:val="24"/>
        </w:rPr>
        <w:t>kell közzétenni,</w:t>
      </w:r>
      <w:r w:rsidR="00FA3E5D" w:rsidRPr="007E723C">
        <w:rPr>
          <w:rFonts w:ascii="Georgia" w:hAnsi="Georgia" w:cs="Times New Roman"/>
          <w:sz w:val="24"/>
          <w:szCs w:val="24"/>
        </w:rPr>
        <w:t xml:space="preserve"> </w:t>
      </w:r>
      <w:r w:rsidR="00991BB1" w:rsidRPr="007E723C">
        <w:rPr>
          <w:rFonts w:ascii="Georgia" w:hAnsi="Georgia" w:cs="Times New Roman"/>
          <w:sz w:val="24"/>
          <w:szCs w:val="24"/>
        </w:rPr>
        <w:t>milyen jelentéseket kell nyilvánosságra hozni</w:t>
      </w:r>
      <w:r w:rsidR="0034316C" w:rsidRPr="007E723C">
        <w:rPr>
          <w:rFonts w:ascii="Georgia" w:hAnsi="Georgia" w:cs="Times New Roman"/>
          <w:sz w:val="24"/>
          <w:szCs w:val="24"/>
        </w:rPr>
        <w:t xml:space="preserve"> </w:t>
      </w:r>
      <w:r w:rsidR="0034316C" w:rsidRPr="007E723C">
        <w:rPr>
          <w:rFonts w:ascii="Georgia" w:hAnsi="Georgia" w:cs="Times New Roman"/>
          <w:sz w:val="24"/>
          <w:szCs w:val="24"/>
        </w:rPr>
        <w:fldChar w:fldCharType="begin"/>
      </w:r>
      <w:r w:rsidR="0034316C" w:rsidRPr="007E723C">
        <w:rPr>
          <w:rFonts w:ascii="Georgia" w:hAnsi="Georgia" w:cs="Times New Roman"/>
          <w:sz w:val="24"/>
          <w:szCs w:val="24"/>
        </w:rPr>
        <w:instrText xml:space="preserve"> ADDIN ZOTERO_ITEM CSL_CITATION {"citationID":"giypo06p","properties":{"formattedCitation":"(Buallay, 2018)","plainCitation":"(Buallay, 2018)","noteIndex":0},"citationItems":[{"id":713,"uris":["http://zotero.org/users/9445126/items/Y5YCSVCV"],"itemData":{"id":713,"type":"article-journal","abstract":"Purpose Sustainability reporting has been widely adopted by firms worldwide given the need of stakeholders for more transparency on environmental, social and governance (ESG) issues. The purpose of this paper is to investigate the relationship between ESG and bank’s operational (Return on Assets), financial (Return on Equity) and market performance (Tobin’s Q).Design/methodology/approach This study examined 235 banks for ten years (2007-2016) to ends up with 2,350 observations. The independent variable is the ESG disclosure; the dependent variables are performance indicators (return on assets, return on equity and Tobin’s Q). Two type of control variables are utilized in this study: bank specific and macroeconomic.Findings The findings deduced from the empirical results demonstrate that there is significant positive impact of ESG on the performance. However, the relationship between ESG disclosures is vary if measured individually; the environmental disclosure found positively affect the ROA and TQ. Whereas, the corporate social responsibility disclosure is negatively affect the three models. However, the corporate governance disclosure found negatively affects the ROA, ROE and positively affects the Tobin’s Q.Originality/value The results of this study can be used to present a successful model for worldwide banks to concentrate on the role of ESG disclosure in performance.","container-title":"Management of Environmental Quality: An International Journal","DOI":"10.1108/MEQ-12-2017-0149","ISSN":"1477-7835","issue":"1","note":"publisher: Emerald Publishing Limited","page":"98-115","source":"Emerald Insight","title":"Is sustainability reporting (ESG) associated with performance? Evidence from the European banking sector","title-short":"Is sustainability reporting (ESG) associated with performance?","volume":"30","author":[{"family":"Buallay","given":"Amina"}],"issued":{"date-parts":[["2018",1,1]]}}}],"schema":"https://github.com/citation-style-language/schema/raw/master/csl-citation.json"} </w:instrText>
      </w:r>
      <w:r w:rsidR="0034316C" w:rsidRPr="007E723C">
        <w:rPr>
          <w:rFonts w:ascii="Georgia" w:hAnsi="Georgia" w:cs="Times New Roman"/>
          <w:sz w:val="24"/>
          <w:szCs w:val="24"/>
        </w:rPr>
        <w:fldChar w:fldCharType="separate"/>
      </w:r>
      <w:r w:rsidR="0034316C" w:rsidRPr="007E723C">
        <w:rPr>
          <w:rFonts w:ascii="Georgia" w:hAnsi="Georgia" w:cs="Times New Roman"/>
          <w:sz w:val="24"/>
          <w:szCs w:val="24"/>
        </w:rPr>
        <w:t>(Buallay, 2018)</w:t>
      </w:r>
      <w:r w:rsidR="0034316C" w:rsidRPr="007E723C">
        <w:rPr>
          <w:rFonts w:ascii="Georgia" w:hAnsi="Georgia" w:cs="Times New Roman"/>
          <w:sz w:val="24"/>
          <w:szCs w:val="24"/>
        </w:rPr>
        <w:fldChar w:fldCharType="end"/>
      </w:r>
      <w:r w:rsidR="00991BB1" w:rsidRPr="007E723C">
        <w:rPr>
          <w:rFonts w:ascii="Georgia" w:hAnsi="Georgia" w:cs="Times New Roman"/>
          <w:sz w:val="24"/>
          <w:szCs w:val="24"/>
        </w:rPr>
        <w:t xml:space="preserve">. Mivel a pénzügyi számvitel nem alkalmas teljes mértékben arra, hogy a befektetők információigényét lefedje, ezért az utóbbi időben már olyan jelentések is </w:t>
      </w:r>
      <w:r w:rsidRPr="007E723C">
        <w:rPr>
          <w:rFonts w:ascii="Georgia" w:hAnsi="Georgia" w:cs="Times New Roman"/>
          <w:sz w:val="24"/>
          <w:szCs w:val="24"/>
        </w:rPr>
        <w:t>nyilvánosságra kerültek</w:t>
      </w:r>
      <w:r w:rsidR="00991BB1" w:rsidRPr="007E723C">
        <w:rPr>
          <w:rFonts w:ascii="Georgia" w:hAnsi="Georgia" w:cs="Times New Roman"/>
          <w:sz w:val="24"/>
          <w:szCs w:val="24"/>
        </w:rPr>
        <w:t>, mint például a szellemi tőke kimutatása, az értékjelentés vagy a fenntarthatósági jelentés</w:t>
      </w:r>
      <w:r w:rsidR="009E05C2" w:rsidRPr="007E723C">
        <w:rPr>
          <w:rFonts w:ascii="Georgia" w:hAnsi="Georgia" w:cs="Times New Roman"/>
          <w:sz w:val="24"/>
          <w:szCs w:val="24"/>
        </w:rPr>
        <w:t xml:space="preserve"> </w:t>
      </w:r>
      <w:r w:rsidR="0005078B" w:rsidRPr="007E723C">
        <w:rPr>
          <w:rFonts w:ascii="Georgia" w:hAnsi="Georgia" w:cs="Times New Roman"/>
          <w:sz w:val="24"/>
          <w:szCs w:val="24"/>
        </w:rPr>
        <w:fldChar w:fldCharType="begin"/>
      </w:r>
      <w:r w:rsidR="0005078B" w:rsidRPr="007E723C">
        <w:rPr>
          <w:rFonts w:ascii="Georgia" w:hAnsi="Georgia" w:cs="Times New Roman"/>
          <w:sz w:val="24"/>
          <w:szCs w:val="24"/>
        </w:rPr>
        <w:instrText xml:space="preserve"> ADDIN ZOTERO_ITEM CSL_CITATION {"citationID":"X8wXlcvv","properties":{"formattedCitation":"(Wulf \\uc0\\u233{}s mtsai., 2014)","plainCitation":"(Wulf és mtsai., 2014)","noteIndex":0},"citationItems":[{"id":775,"uris":["http://zotero.org/users/9445126/items/3CB8PDI4"],"itemData":{"id":775,"type":"article-journal","container-title":"Journal of Management Control","issue":"2","note":"publisher: Springer","page":"135–164","source":"Google Scholar","title":"Development toward integrated reporting, and its impact on corporate governance: a two-dimensional approach to accounting with reference to the German two-tier system","title-short":"Development toward integrated reporting, and its impact on corporate governance","volume":"25","author":[{"family":"Wulf","given":"Inge"},{"family":"Niemöller","given":"Jens"},{"family":"Rentzsch","given":"Natalia"}],"issued":{"date-parts":[["2014"]]}}}],"schema":"https://github.com/citation-style-language/schema/raw/master/csl-citation.json"} </w:instrText>
      </w:r>
      <w:r w:rsidR="0005078B" w:rsidRPr="007E723C">
        <w:rPr>
          <w:rFonts w:ascii="Georgia" w:hAnsi="Georgia" w:cs="Times New Roman"/>
          <w:sz w:val="24"/>
          <w:szCs w:val="24"/>
        </w:rPr>
        <w:fldChar w:fldCharType="separate"/>
      </w:r>
      <w:r w:rsidR="0005078B" w:rsidRPr="007E723C">
        <w:rPr>
          <w:rFonts w:ascii="Georgia" w:hAnsi="Georgia" w:cs="Times New Roman"/>
          <w:sz w:val="24"/>
          <w:szCs w:val="24"/>
        </w:rPr>
        <w:t>(Wulf és mtsai., 2014)</w:t>
      </w:r>
      <w:r w:rsidR="0005078B" w:rsidRPr="007E723C">
        <w:rPr>
          <w:rFonts w:ascii="Georgia" w:hAnsi="Georgia" w:cs="Times New Roman"/>
          <w:sz w:val="24"/>
          <w:szCs w:val="24"/>
        </w:rPr>
        <w:fldChar w:fldCharType="end"/>
      </w:r>
      <w:r w:rsidR="0005078B" w:rsidRPr="007E723C">
        <w:rPr>
          <w:rFonts w:ascii="Georgia" w:hAnsi="Georgia" w:cs="Times New Roman"/>
          <w:sz w:val="24"/>
          <w:szCs w:val="24"/>
        </w:rPr>
        <w:t xml:space="preserve">. </w:t>
      </w:r>
      <w:r w:rsidR="00E12598" w:rsidRPr="007E723C">
        <w:rPr>
          <w:rFonts w:ascii="Georgia" w:hAnsi="Georgia" w:cs="Times New Roman"/>
          <w:sz w:val="24"/>
          <w:szCs w:val="24"/>
        </w:rPr>
        <w:t xml:space="preserve">A fenntarthatósági jelentés </w:t>
      </w:r>
      <w:r w:rsidR="00386E60" w:rsidRPr="007E723C">
        <w:rPr>
          <w:rFonts w:ascii="Georgia" w:hAnsi="Georgia" w:cs="Times New Roman"/>
          <w:sz w:val="24"/>
          <w:szCs w:val="24"/>
        </w:rPr>
        <w:t>támogatói</w:t>
      </w:r>
      <w:r w:rsidR="00E12598" w:rsidRPr="007E723C">
        <w:rPr>
          <w:rFonts w:ascii="Georgia" w:hAnsi="Georgia" w:cs="Times New Roman"/>
          <w:sz w:val="24"/>
          <w:szCs w:val="24"/>
        </w:rPr>
        <w:t xml:space="preserve"> úgy vélték, hogy az ESG</w:t>
      </w:r>
      <w:r w:rsidR="00386E60" w:rsidRPr="007E723C">
        <w:rPr>
          <w:rFonts w:ascii="Georgia" w:hAnsi="Georgia" w:cs="Times New Roman"/>
          <w:sz w:val="24"/>
          <w:szCs w:val="24"/>
        </w:rPr>
        <w:t xml:space="preserve"> információk</w:t>
      </w:r>
      <w:r w:rsidR="00E12598" w:rsidRPr="007E723C">
        <w:rPr>
          <w:rFonts w:ascii="Georgia" w:hAnsi="Georgia" w:cs="Times New Roman"/>
          <w:sz w:val="24"/>
          <w:szCs w:val="24"/>
        </w:rPr>
        <w:t xml:space="preserve"> nyilvánosságra hozatalának </w:t>
      </w:r>
      <w:r w:rsidR="00386E60" w:rsidRPr="007E723C">
        <w:rPr>
          <w:rFonts w:ascii="Georgia" w:hAnsi="Georgia" w:cs="Times New Roman"/>
          <w:sz w:val="24"/>
          <w:szCs w:val="24"/>
        </w:rPr>
        <w:t>támogatása mind</w:t>
      </w:r>
      <w:r w:rsidR="00E12598" w:rsidRPr="007E723C">
        <w:rPr>
          <w:rFonts w:ascii="Georgia" w:hAnsi="Georgia" w:cs="Times New Roman"/>
          <w:sz w:val="24"/>
          <w:szCs w:val="24"/>
        </w:rPr>
        <w:t xml:space="preserve"> a vállalat</w:t>
      </w:r>
      <w:r w:rsidR="00386E60" w:rsidRPr="007E723C">
        <w:rPr>
          <w:rFonts w:ascii="Georgia" w:hAnsi="Georgia" w:cs="Times New Roman"/>
          <w:sz w:val="24"/>
          <w:szCs w:val="24"/>
        </w:rPr>
        <w:t xml:space="preserve">, mind </w:t>
      </w:r>
      <w:r w:rsidR="00E12598" w:rsidRPr="007E723C">
        <w:rPr>
          <w:rFonts w:ascii="Georgia" w:hAnsi="Georgia" w:cs="Times New Roman"/>
          <w:sz w:val="24"/>
          <w:szCs w:val="24"/>
        </w:rPr>
        <w:t>az érdekelt felek számára egyaránt előnyös. A fenntarthatósági jelentéseket kiváló</w:t>
      </w:r>
      <w:r w:rsidR="00386E60" w:rsidRPr="007E723C">
        <w:rPr>
          <w:rFonts w:ascii="Georgia" w:hAnsi="Georgia" w:cs="Times New Roman"/>
          <w:sz w:val="24"/>
          <w:szCs w:val="24"/>
        </w:rPr>
        <w:t>ak a</w:t>
      </w:r>
      <w:r w:rsidR="00E12598" w:rsidRPr="007E723C">
        <w:rPr>
          <w:rFonts w:ascii="Georgia" w:hAnsi="Georgia" w:cs="Times New Roman"/>
          <w:sz w:val="24"/>
          <w:szCs w:val="24"/>
        </w:rPr>
        <w:t xml:space="preserve"> külső és belső döntéshozatalhoz, nagyobb átláthatósághoz vezetnek, </w:t>
      </w:r>
      <w:r w:rsidR="00386E60" w:rsidRPr="007E723C">
        <w:rPr>
          <w:rFonts w:ascii="Georgia" w:hAnsi="Georgia" w:cs="Times New Roman"/>
          <w:sz w:val="24"/>
          <w:szCs w:val="24"/>
        </w:rPr>
        <w:t xml:space="preserve">ezzel </w:t>
      </w:r>
      <w:r w:rsidR="00E12598" w:rsidRPr="007E723C">
        <w:rPr>
          <w:rFonts w:ascii="Georgia" w:hAnsi="Georgia" w:cs="Times New Roman"/>
          <w:sz w:val="24"/>
          <w:szCs w:val="24"/>
        </w:rPr>
        <w:t xml:space="preserve">egyidejűleg </w:t>
      </w:r>
      <w:r w:rsidR="00386E60" w:rsidRPr="007E723C">
        <w:rPr>
          <w:rFonts w:ascii="Georgia" w:hAnsi="Georgia" w:cs="Times New Roman"/>
          <w:sz w:val="24"/>
          <w:szCs w:val="24"/>
        </w:rPr>
        <w:t xml:space="preserve">pedig </w:t>
      </w:r>
      <w:r w:rsidR="00E12598" w:rsidRPr="007E723C">
        <w:rPr>
          <w:rFonts w:ascii="Georgia" w:hAnsi="Georgia" w:cs="Times New Roman"/>
          <w:sz w:val="24"/>
          <w:szCs w:val="24"/>
        </w:rPr>
        <w:t>erősítik a pénzügyi stabilitást és hozzájárulnak a jobb társadalmi fenntarthatósághoz</w:t>
      </w:r>
      <w:r w:rsidR="0005078B" w:rsidRPr="007E723C">
        <w:rPr>
          <w:rFonts w:ascii="Georgia" w:hAnsi="Georgia" w:cs="Times New Roman"/>
          <w:sz w:val="24"/>
          <w:szCs w:val="24"/>
        </w:rPr>
        <w:t xml:space="preserve"> </w:t>
      </w:r>
      <w:r w:rsidR="0005078B" w:rsidRPr="007E723C">
        <w:rPr>
          <w:rFonts w:ascii="Georgia" w:hAnsi="Georgia" w:cs="Times New Roman"/>
          <w:sz w:val="24"/>
          <w:szCs w:val="24"/>
        </w:rPr>
        <w:fldChar w:fldCharType="begin"/>
      </w:r>
      <w:r w:rsidR="0005078B" w:rsidRPr="007E723C">
        <w:rPr>
          <w:rFonts w:ascii="Georgia" w:hAnsi="Georgia" w:cs="Times New Roman"/>
          <w:sz w:val="24"/>
          <w:szCs w:val="24"/>
        </w:rPr>
        <w:instrText xml:space="preserve"> ADDIN ZOTERO_ITEM CSL_CITATION {"citationID":"D2uYadaN","properties":{"formattedCitation":"(Eccles \\uc0\\u233{}s mtsai., 2015; Krzus, 2011)","plainCitation":"(Eccles és mtsai., 2015; Krzus, 2011)","noteIndex":0},"citationItems":[{"id":777,"uris":["http://zotero.org/users/9445126/items/JJYVR6DV"],"itemData":{"id":777,"type":"article-journal","container-title":"Journal of Applied Corporate Finance","issue":"2","page":"103–115","source":"Google Scholar","title":"Models of best practice in integrated reporting 2015","volume":"27","author":[{"family":"Eccles","given":"Robert G."},{"family":"Krzus","given":"Michael P."},{"family":"Ribot","given":"Sydney"}],"issued":{"date-parts":[["2015"]]}}},{"id":779,"uris":["http://zotero.org/users/9445126/items/DCLTF9C3"],"itemData":{"id":779,"type":"article-journal","container-title":"Zeitschrift für internationale Rechnungslegung","issue":"6","page":"271–276","source":"Google Scholar","title":"Integrated reporting: if not now, when","title-short":"Integrated reporting","volume":"6","author":[{"family":"Krzus","given":"Michael P."}],"issued":{"date-parts":[["2011"]]}}}],"schema":"https://github.com/citation-style-language/schema/raw/master/csl-citation.json"} </w:instrText>
      </w:r>
      <w:r w:rsidR="0005078B" w:rsidRPr="007E723C">
        <w:rPr>
          <w:rFonts w:ascii="Georgia" w:hAnsi="Georgia" w:cs="Times New Roman"/>
          <w:sz w:val="24"/>
          <w:szCs w:val="24"/>
        </w:rPr>
        <w:fldChar w:fldCharType="separate"/>
      </w:r>
      <w:r w:rsidR="0005078B" w:rsidRPr="007E723C">
        <w:rPr>
          <w:rFonts w:ascii="Georgia" w:hAnsi="Georgia" w:cs="Times New Roman"/>
          <w:sz w:val="24"/>
          <w:szCs w:val="24"/>
        </w:rPr>
        <w:t>(Eccles és mtsai., 2015; Krzus, 2011)</w:t>
      </w:r>
      <w:r w:rsidR="0005078B" w:rsidRPr="007E723C">
        <w:rPr>
          <w:rFonts w:ascii="Georgia" w:hAnsi="Georgia" w:cs="Times New Roman"/>
          <w:sz w:val="24"/>
          <w:szCs w:val="24"/>
        </w:rPr>
        <w:fldChar w:fldCharType="end"/>
      </w:r>
      <w:r w:rsidR="0005078B" w:rsidRPr="007E723C">
        <w:rPr>
          <w:rFonts w:ascii="Georgia" w:hAnsi="Georgia" w:cs="Times New Roman"/>
          <w:sz w:val="24"/>
          <w:szCs w:val="24"/>
        </w:rPr>
        <w:t xml:space="preserve">. </w:t>
      </w:r>
      <w:r w:rsidR="00386E60" w:rsidRPr="007E723C">
        <w:rPr>
          <w:rFonts w:ascii="Georgia" w:hAnsi="Georgia" w:cs="Times New Roman"/>
          <w:sz w:val="24"/>
          <w:szCs w:val="24"/>
        </w:rPr>
        <w:t>Ezzel szemben t</w:t>
      </w:r>
      <w:r w:rsidR="009E05C2" w:rsidRPr="007E723C">
        <w:rPr>
          <w:rFonts w:ascii="Georgia" w:hAnsi="Georgia" w:cs="Times New Roman"/>
          <w:sz w:val="24"/>
          <w:szCs w:val="24"/>
        </w:rPr>
        <w:t>öbb kutatás is rávilágított arra</w:t>
      </w:r>
      <w:r w:rsidR="003B48F7" w:rsidRPr="007E723C">
        <w:rPr>
          <w:rFonts w:ascii="Georgia" w:hAnsi="Georgia" w:cs="Times New Roman"/>
          <w:sz w:val="24"/>
          <w:szCs w:val="24"/>
        </w:rPr>
        <w:t xml:space="preserve"> </w:t>
      </w:r>
      <w:r w:rsidR="003B48F7" w:rsidRPr="007E723C">
        <w:rPr>
          <w:rFonts w:ascii="Georgia" w:hAnsi="Georgia" w:cs="Times New Roman"/>
          <w:sz w:val="24"/>
          <w:szCs w:val="24"/>
        </w:rPr>
        <w:fldChar w:fldCharType="begin"/>
      </w:r>
      <w:r w:rsidR="003B48F7" w:rsidRPr="007E723C">
        <w:rPr>
          <w:rFonts w:ascii="Georgia" w:hAnsi="Georgia" w:cs="Times New Roman"/>
          <w:sz w:val="24"/>
          <w:szCs w:val="24"/>
        </w:rPr>
        <w:instrText xml:space="preserve"> ADDIN ZOTERO_ITEM CSL_CITATION {"citationID":"iDP6gWJK","properties":{"formattedCitation":"(Ioannou &amp; Serafeim, 2017; Reverte, 2009)","plainCitation":"(Ioannou &amp; Serafeim, 2017; Reverte, 2009)","noteIndex":0},"citationItems":[{"id":781,"uris":["http://zotero.org/users/9445126/items/AZ75DGZW"],"itemData":{"id":781,"type":"article-journal","container-title":"Harvard Business School research working paper","issue":"11-100","source":"Google Scholar","title":"The consequences of mandatory corporate sustainability reporting","author":[{"family":"Ioannou","given":"Ioannis"},{"family":"Serafeim","given":"George"}],"issued":{"date-parts":[["2017"]]}}},{"id":784,"uris":["http://zotero.org/users/9445126/items/XNUW3WQK"],"itemData":{"id":784,"type":"article-journal","container-title":"Journal of business ethics","issue":"2","note":"publisher: Springer","page":"351–366","source":"Google Scholar","title":"Determinants of corporate social responsibility disclosure ratings by Spanish listed firms","volume":"88","author":[{"family":"Reverte","given":"Carmelo"}],"issued":{"date-parts":[["2009"]]}}}],"schema":"https://github.com/citation-style-language/schema/raw/master/csl-citation.json"} </w:instrText>
      </w:r>
      <w:r w:rsidR="003B48F7" w:rsidRPr="007E723C">
        <w:rPr>
          <w:rFonts w:ascii="Georgia" w:hAnsi="Georgia" w:cs="Times New Roman"/>
          <w:sz w:val="24"/>
          <w:szCs w:val="24"/>
        </w:rPr>
        <w:fldChar w:fldCharType="separate"/>
      </w:r>
      <w:r w:rsidR="003B48F7" w:rsidRPr="007E723C">
        <w:rPr>
          <w:rFonts w:ascii="Georgia" w:hAnsi="Georgia" w:cs="Times New Roman"/>
          <w:sz w:val="24"/>
          <w:szCs w:val="24"/>
        </w:rPr>
        <w:t>(Ioannou &amp; Serafeim, 2017; Reverte, 2009)</w:t>
      </w:r>
      <w:r w:rsidR="003B48F7" w:rsidRPr="007E723C">
        <w:rPr>
          <w:rFonts w:ascii="Georgia" w:hAnsi="Georgia" w:cs="Times New Roman"/>
          <w:sz w:val="24"/>
          <w:szCs w:val="24"/>
        </w:rPr>
        <w:fldChar w:fldCharType="end"/>
      </w:r>
      <w:r w:rsidR="009E05C2" w:rsidRPr="007E723C">
        <w:rPr>
          <w:rFonts w:ascii="Georgia" w:hAnsi="Georgia" w:cs="Times New Roman"/>
          <w:sz w:val="24"/>
          <w:szCs w:val="24"/>
        </w:rPr>
        <w:t>, hogy a</w:t>
      </w:r>
      <w:r w:rsidR="008E0DBB" w:rsidRPr="007E723C">
        <w:rPr>
          <w:rFonts w:ascii="Georgia" w:hAnsi="Georgia" w:cs="Times New Roman"/>
          <w:sz w:val="24"/>
          <w:szCs w:val="24"/>
        </w:rPr>
        <w:t>z ESG-vel kapcsolatos információk nyilvánosságra hozása nem pénzügyi közzétételnek számít, amely messze nem olyan szabályozott</w:t>
      </w:r>
      <w:r w:rsidR="009E05C2" w:rsidRPr="007E723C">
        <w:rPr>
          <w:rFonts w:ascii="Georgia" w:hAnsi="Georgia" w:cs="Times New Roman"/>
          <w:sz w:val="24"/>
          <w:szCs w:val="24"/>
        </w:rPr>
        <w:t>,</w:t>
      </w:r>
      <w:r w:rsidR="008E0DBB" w:rsidRPr="007E723C">
        <w:rPr>
          <w:rFonts w:ascii="Georgia" w:hAnsi="Georgia" w:cs="Times New Roman"/>
          <w:sz w:val="24"/>
          <w:szCs w:val="24"/>
        </w:rPr>
        <w:t xml:space="preserve"> mint a pénzügyi beszámolási gyakorlat, ezért a különböző ESG-hez köthető jelentések, beszámolók szignifikánsan eltérhetnek egymástól</w:t>
      </w:r>
      <w:r w:rsidR="00386E60" w:rsidRPr="007E723C">
        <w:rPr>
          <w:rFonts w:ascii="Georgia" w:hAnsi="Georgia" w:cs="Times New Roman"/>
          <w:sz w:val="24"/>
          <w:szCs w:val="24"/>
        </w:rPr>
        <w:t>, ami alapjaiban</w:t>
      </w:r>
      <w:r w:rsidR="00FA3E5D" w:rsidRPr="007E723C">
        <w:rPr>
          <w:rFonts w:ascii="Georgia" w:hAnsi="Georgia" w:cs="Times New Roman"/>
          <w:sz w:val="24"/>
          <w:szCs w:val="24"/>
        </w:rPr>
        <w:t xml:space="preserve"> véve</w:t>
      </w:r>
      <w:r w:rsidR="00386E60" w:rsidRPr="007E723C">
        <w:rPr>
          <w:rFonts w:ascii="Georgia" w:hAnsi="Georgia" w:cs="Times New Roman"/>
          <w:sz w:val="24"/>
          <w:szCs w:val="24"/>
        </w:rPr>
        <w:t xml:space="preserve"> megkérdőjelezi azt, hogy mennyiben érdemes ezekre a beszámolókra támaszkodni.</w:t>
      </w:r>
    </w:p>
    <w:p w14:paraId="449F2D49" w14:textId="2FF8AF8E" w:rsidR="008C25BA" w:rsidRPr="007E723C" w:rsidRDefault="008C25BA" w:rsidP="008C25BA">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Az elmúlt években a vállalkozások közzététellel kapcsolatos teendőit meghatározó szabályozások számos változáson mentek keresztül</w:t>
      </w:r>
      <w:r w:rsidR="00386E60" w:rsidRPr="007E723C">
        <w:rPr>
          <w:rFonts w:ascii="Georgia" w:hAnsi="Georgia" w:cs="Times New Roman"/>
          <w:sz w:val="24"/>
          <w:szCs w:val="24"/>
        </w:rPr>
        <w:t xml:space="preserve"> az egységes beszámolási gyakorlat elősegítése érdekében</w:t>
      </w:r>
      <w:r w:rsidRPr="007E723C">
        <w:rPr>
          <w:rFonts w:ascii="Georgia" w:hAnsi="Georgia" w:cs="Times New Roman"/>
          <w:sz w:val="24"/>
          <w:szCs w:val="24"/>
        </w:rPr>
        <w:t xml:space="preserve">. </w:t>
      </w:r>
      <w:r w:rsidR="008078E9" w:rsidRPr="007E723C">
        <w:rPr>
          <w:rFonts w:ascii="Georgia" w:hAnsi="Georgia" w:cs="Times New Roman"/>
          <w:sz w:val="24"/>
          <w:szCs w:val="24"/>
        </w:rPr>
        <w:t>Ennek eredményeként a</w:t>
      </w:r>
      <w:r w:rsidRPr="007E723C">
        <w:rPr>
          <w:rFonts w:ascii="Georgia" w:hAnsi="Georgia" w:cs="Times New Roman"/>
          <w:sz w:val="24"/>
          <w:szCs w:val="24"/>
        </w:rPr>
        <w:t xml:space="preserve"> pénzügyi beszámolásban kialakult egy nemzetközi standard, amelyet az IFRS Alapítvány és az IASB közösen alkotott meg. Erre a nemzetközi pénzügyi beszámolási standardra</w:t>
      </w:r>
      <w:r w:rsidR="008078E9" w:rsidRPr="007E723C">
        <w:rPr>
          <w:rFonts w:ascii="Georgia" w:hAnsi="Georgia" w:cs="Times New Roman"/>
          <w:sz w:val="24"/>
          <w:szCs w:val="24"/>
        </w:rPr>
        <w:t xml:space="preserve"> többek között </w:t>
      </w:r>
      <w:r w:rsidRPr="007E723C">
        <w:rPr>
          <w:rFonts w:ascii="Georgia" w:hAnsi="Georgia" w:cs="Times New Roman"/>
          <w:sz w:val="24"/>
          <w:szCs w:val="24"/>
        </w:rPr>
        <w:t xml:space="preserve">azért is volt szükség, </w:t>
      </w:r>
      <w:r w:rsidR="008078E9" w:rsidRPr="007E723C">
        <w:rPr>
          <w:rFonts w:ascii="Georgia" w:hAnsi="Georgia" w:cs="Times New Roman"/>
          <w:sz w:val="24"/>
          <w:szCs w:val="24"/>
        </w:rPr>
        <w:t>hogy</w:t>
      </w:r>
      <w:r w:rsidRPr="007E723C">
        <w:rPr>
          <w:rFonts w:ascii="Georgia" w:hAnsi="Georgia" w:cs="Times New Roman"/>
          <w:sz w:val="24"/>
          <w:szCs w:val="24"/>
        </w:rPr>
        <w:t xml:space="preserve"> ezáltal létrejö</w:t>
      </w:r>
      <w:r w:rsidR="008078E9" w:rsidRPr="007E723C">
        <w:rPr>
          <w:rFonts w:ascii="Georgia" w:hAnsi="Georgia" w:cs="Times New Roman"/>
          <w:sz w:val="24"/>
          <w:szCs w:val="24"/>
        </w:rPr>
        <w:t>jjön</w:t>
      </w:r>
      <w:r w:rsidRPr="007E723C">
        <w:rPr>
          <w:rFonts w:ascii="Georgia" w:hAnsi="Georgia" w:cs="Times New Roman"/>
          <w:sz w:val="24"/>
          <w:szCs w:val="24"/>
        </w:rPr>
        <w:t xml:space="preserve"> egy „közös nyelv”, </w:t>
      </w:r>
      <w:r w:rsidR="008078E9" w:rsidRPr="007E723C">
        <w:rPr>
          <w:rFonts w:ascii="Georgia" w:hAnsi="Georgia" w:cs="Times New Roman"/>
          <w:sz w:val="24"/>
          <w:szCs w:val="24"/>
        </w:rPr>
        <w:t>a</w:t>
      </w:r>
      <w:r w:rsidRPr="007E723C">
        <w:rPr>
          <w:rFonts w:ascii="Georgia" w:hAnsi="Georgia" w:cs="Times New Roman"/>
          <w:sz w:val="24"/>
          <w:szCs w:val="24"/>
        </w:rPr>
        <w:t xml:space="preserve">mely lehetővé teszi azt, hogy mind a befektetők, mind a vállalatok más érintettjei össze tudják hasonlítani a különböző vállalatok pénzügyi teljesítményét és ezeket az információkat be is tudják építeni finanszírozási döntéseikbe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{"citationID":"eAv6acwb","properties":{"formattedCitation":"(Lippai-Makra, 2020)","plainCitation":"(Lippai-Makra, 2020)","noteIndex":0},"citationItems":[{"id":549,"uris":["http://zotero.org/users/9445126/items/M4Q2AVAI"],"itemData":{"id":549,"type":"article-journal","container-title":"Szegedi Tudományegyetem, Gazdaságtudományi Kar, Pénzügyek és Nemzetközi Gazdasági Kapcsolatok Intézete","note":"publisher: A Soproni Fels\\Hooktatásért Alapítvány","source":"Google Scholar","title":"A nem pénzügyi jelentéstétel szabályozása Magyarországon","author":[{"family":"Lippai-Makra","given":"Edit"}],"issued":{"date-parts":[["2020"]]}}}],"schema":"https://github.com/citation-style-language/schema/raw/master/csl-citation.json"}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(Lippai-Makra, 2020)</w:t>
      </w:r>
      <w:r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29992635" w14:textId="5F5A98A4" w:rsidR="008C25BA" w:rsidRPr="007E723C" w:rsidRDefault="008078E9" w:rsidP="008C25BA">
      <w:pPr>
        <w:spacing w:line="360" w:lineRule="auto"/>
        <w:ind w:firstLine="709"/>
        <w:jc w:val="both"/>
        <w:rPr>
          <w:rFonts w:ascii="Georgia" w:hAnsi="Georgia" w:cs="Times New Roman"/>
          <w:sz w:val="24"/>
          <w:szCs w:val="24"/>
        </w:rPr>
      </w:pPr>
      <w:r w:rsidRPr="007E723C">
        <w:rPr>
          <w:rFonts w:ascii="Georgia" w:hAnsi="Georgia" w:cs="Times New Roman"/>
          <w:sz w:val="24"/>
          <w:szCs w:val="24"/>
        </w:rPr>
        <w:t>Mivel a</w:t>
      </w:r>
      <w:r w:rsidR="008C25BA" w:rsidRPr="007E723C">
        <w:rPr>
          <w:rFonts w:ascii="Georgia" w:hAnsi="Georgia" w:cs="Times New Roman"/>
          <w:sz w:val="24"/>
          <w:szCs w:val="24"/>
        </w:rPr>
        <w:t xml:space="preserve"> fenntarthatóság, mint legújabb trend térnyerésével az érdekeltek a pénzügyi információkon kívül már a társaságok működésének egyéb mutatói iránt is érdeklődést mutatnak</w:t>
      </w:r>
      <w:r w:rsidRPr="007E723C">
        <w:rPr>
          <w:rFonts w:ascii="Georgia" w:hAnsi="Georgia" w:cs="Times New Roman"/>
          <w:sz w:val="24"/>
          <w:szCs w:val="24"/>
        </w:rPr>
        <w:t>, ezért szükség</w:t>
      </w:r>
      <w:r w:rsidR="00FA3E5D" w:rsidRPr="007E723C">
        <w:rPr>
          <w:rFonts w:ascii="Georgia" w:hAnsi="Georgia" w:cs="Times New Roman"/>
          <w:sz w:val="24"/>
          <w:szCs w:val="24"/>
        </w:rPr>
        <w:t xml:space="preserve"> van</w:t>
      </w:r>
      <w:r w:rsidRPr="007E723C">
        <w:rPr>
          <w:rFonts w:ascii="Georgia" w:hAnsi="Georgia" w:cs="Times New Roman"/>
          <w:sz w:val="24"/>
          <w:szCs w:val="24"/>
        </w:rPr>
        <w:t xml:space="preserve"> a nem pénzügyi beszámolás gyakorlatának fejlesztésére is</w:t>
      </w:r>
      <w:r w:rsidR="008C25BA" w:rsidRPr="007E723C">
        <w:rPr>
          <w:rFonts w:ascii="Georgia" w:hAnsi="Georgia" w:cs="Times New Roman"/>
          <w:sz w:val="24"/>
          <w:szCs w:val="24"/>
        </w:rPr>
        <w:t xml:space="preserve">. </w:t>
      </w:r>
      <w:r w:rsidRPr="007E723C">
        <w:rPr>
          <w:rFonts w:ascii="Georgia" w:hAnsi="Georgia" w:cs="Times New Roman"/>
          <w:sz w:val="24"/>
          <w:szCs w:val="24"/>
        </w:rPr>
        <w:t>Ez a terület</w:t>
      </w:r>
      <w:r w:rsidR="008C25BA" w:rsidRPr="007E723C">
        <w:rPr>
          <w:rFonts w:ascii="Georgia" w:hAnsi="Georgia" w:cs="Times New Roman"/>
          <w:sz w:val="24"/>
          <w:szCs w:val="24"/>
        </w:rPr>
        <w:t xml:space="preserve"> jóval kevésbé kifejlett és rendszerezett </w:t>
      </w:r>
      <w:r w:rsidR="008C25BA" w:rsidRPr="007E723C">
        <w:rPr>
          <w:rFonts w:ascii="Georgia" w:hAnsi="Georgia" w:cs="Times New Roman"/>
          <w:sz w:val="24"/>
          <w:szCs w:val="24"/>
        </w:rPr>
        <w:lastRenderedPageBreak/>
        <w:t>a pénzügyi beszámoláshoz képest, hiszen nincs egy egységesített, mindenki által alkalmazandó séma</w:t>
      </w:r>
      <w:r w:rsidR="00FA3E5D" w:rsidRPr="007E723C">
        <w:rPr>
          <w:rFonts w:ascii="Georgia" w:hAnsi="Georgia" w:cs="Times New Roman"/>
          <w:sz w:val="24"/>
          <w:szCs w:val="24"/>
        </w:rPr>
        <w:t>, nincs egy jól bevált beszámolási gyakorlat sem</w:t>
      </w:r>
      <w:r w:rsidR="008C25BA" w:rsidRPr="007E723C">
        <w:rPr>
          <w:rFonts w:ascii="Georgia" w:hAnsi="Georgia" w:cs="Times New Roman"/>
          <w:sz w:val="24"/>
          <w:szCs w:val="24"/>
        </w:rPr>
        <w:t xml:space="preserve">. A jelentések </w:t>
      </w:r>
      <w:r w:rsidR="00FA3E5D" w:rsidRPr="007E723C">
        <w:rPr>
          <w:rFonts w:ascii="Georgia" w:hAnsi="Georgia" w:cs="Times New Roman"/>
          <w:sz w:val="24"/>
          <w:szCs w:val="24"/>
        </w:rPr>
        <w:t>többnyire</w:t>
      </w:r>
      <w:r w:rsidR="008C25BA" w:rsidRPr="007E723C">
        <w:rPr>
          <w:rFonts w:ascii="Georgia" w:hAnsi="Georgia" w:cs="Times New Roman"/>
          <w:sz w:val="24"/>
          <w:szCs w:val="24"/>
        </w:rPr>
        <w:t xml:space="preserve"> önkéntes alapon készülnek, és csupán ajánlások, irányelvek, keretrendszerek szabályozzák azok tartalmát és magát a beszámolási gyakorlatot. Éppen emiatt a formai és tartalmi sokszínűség miatt az információ felhasználói számára gondot okoz a fenntarthatósággal kapcsolatos nem pénzügyi adatok </w:t>
      </w:r>
      <w:r w:rsidR="00FA3E5D" w:rsidRPr="007E723C">
        <w:rPr>
          <w:rFonts w:ascii="Georgia" w:hAnsi="Georgia" w:cs="Times New Roman"/>
          <w:sz w:val="24"/>
          <w:szCs w:val="24"/>
        </w:rPr>
        <w:t xml:space="preserve">feltárása és megértése, </w:t>
      </w:r>
      <w:r w:rsidR="008C25BA" w:rsidRPr="007E723C">
        <w:rPr>
          <w:rFonts w:ascii="Georgia" w:hAnsi="Georgia" w:cs="Times New Roman"/>
          <w:sz w:val="24"/>
          <w:szCs w:val="24"/>
        </w:rPr>
        <w:t xml:space="preserve">ezáltal </w:t>
      </w:r>
      <w:r w:rsidR="00FA3E5D" w:rsidRPr="007E723C">
        <w:rPr>
          <w:rFonts w:ascii="Georgia" w:hAnsi="Georgia" w:cs="Times New Roman"/>
          <w:sz w:val="24"/>
          <w:szCs w:val="24"/>
        </w:rPr>
        <w:t xml:space="preserve">pedig </w:t>
      </w:r>
      <w:r w:rsidR="008C25BA" w:rsidRPr="007E723C">
        <w:rPr>
          <w:rFonts w:ascii="Georgia" w:hAnsi="Georgia" w:cs="Times New Roman"/>
          <w:sz w:val="24"/>
          <w:szCs w:val="24"/>
        </w:rPr>
        <w:t>a vállalatok teljesítményének megfelelő összehasonlítása</w:t>
      </w:r>
      <w:r w:rsidR="00FA3E5D" w:rsidRPr="007E723C">
        <w:rPr>
          <w:rFonts w:ascii="Georgia" w:hAnsi="Georgia" w:cs="Times New Roman"/>
          <w:sz w:val="24"/>
          <w:szCs w:val="24"/>
        </w:rPr>
        <w:t xml:space="preserve"> is nehézkessé válik</w:t>
      </w:r>
      <w:r w:rsidR="008C25BA" w:rsidRPr="007E723C">
        <w:rPr>
          <w:rFonts w:ascii="Georgia" w:hAnsi="Georgia" w:cs="Times New Roman"/>
          <w:sz w:val="24"/>
          <w:szCs w:val="24"/>
        </w:rPr>
        <w:t xml:space="preserve">. Ez azért is jelent problémát, mert így lényegében egy igen fontos számviteli alapelv, a következetesség elvének sérüléséről van szó. Nem kétséges tehát, hogy a standardizálás a nem pénzügyi beszámolás területén is egyre égetőbb kérdéssé vált </w:t>
      </w:r>
      <w:r w:rsidR="008C25BA" w:rsidRPr="007E723C">
        <w:rPr>
          <w:rFonts w:ascii="Georgia" w:hAnsi="Georgia" w:cs="Times New Roman"/>
          <w:sz w:val="24"/>
          <w:szCs w:val="24"/>
        </w:rPr>
        <w:fldChar w:fldCharType="begin"/>
      </w:r>
      <w:r w:rsidR="008C25BA" w:rsidRPr="007E723C">
        <w:rPr>
          <w:rFonts w:ascii="Georgia" w:hAnsi="Georgia" w:cs="Times New Roman"/>
          <w:sz w:val="24"/>
          <w:szCs w:val="24"/>
        </w:rPr>
        <w:instrText xml:space="preserve"> ADDIN ZOTERO_ITEM CSL_CITATION {"citationID":"AnalqG9N","properties":{"formattedCitation":"(Lippai-Makra, 2020)","plainCitation":"(Lippai-Makra, 2020)","noteIndex":0},"citationItems":[{"id":549,"uris":["http://zotero.org/users/9445126/items/M4Q2AVAI"],"itemData":{"id":549,"type":"article-journal","container-title":"Szegedi Tudományegyetem, Gazdaságtudományi Kar, Pénzügyek és Nemzetközi Gazdasági Kapcsolatok Intézete","note":"publisher: A Soproni Fels\\Hooktatásért Alapítvány","source":"Google Scholar","title":"A nem pénzügyi jelentéstétel szabályozása Magyarországon","author":[{"family":"Lippai-Makra","given":"Edit"}],"issued":{"date-parts":[["2020"]]}}}],"schema":"https://github.com/citation-style-language/schema/raw/master/csl-citation.json"} </w:instrText>
      </w:r>
      <w:r w:rsidR="008C25BA" w:rsidRPr="007E723C">
        <w:rPr>
          <w:rFonts w:ascii="Georgia" w:hAnsi="Georgia" w:cs="Times New Roman"/>
          <w:sz w:val="24"/>
          <w:szCs w:val="24"/>
        </w:rPr>
        <w:fldChar w:fldCharType="separate"/>
      </w:r>
      <w:r w:rsidR="008C25BA" w:rsidRPr="007E723C">
        <w:rPr>
          <w:rFonts w:ascii="Georgia" w:hAnsi="Georgia" w:cs="Times New Roman"/>
          <w:sz w:val="24"/>
          <w:szCs w:val="24"/>
        </w:rPr>
        <w:t>(Lippai-Makra, 2020)</w:t>
      </w:r>
      <w:r w:rsidR="008C25BA" w:rsidRPr="007E723C">
        <w:rPr>
          <w:rFonts w:ascii="Georgia" w:hAnsi="Georgia" w:cs="Times New Roman"/>
          <w:sz w:val="24"/>
          <w:szCs w:val="24"/>
        </w:rPr>
        <w:fldChar w:fldCharType="end"/>
      </w:r>
      <w:r w:rsidR="008C25BA" w:rsidRPr="007E723C">
        <w:rPr>
          <w:rFonts w:ascii="Georgia" w:hAnsi="Georgia" w:cs="Times New Roman"/>
          <w:sz w:val="24"/>
          <w:szCs w:val="24"/>
        </w:rPr>
        <w:t>.</w:t>
      </w:r>
    </w:p>
    <w:p w14:paraId="735B8D2D" w14:textId="77777777" w:rsidR="008C25BA" w:rsidRPr="007E723C" w:rsidRDefault="008C25BA" w:rsidP="00FF7AC9">
      <w:pPr>
        <w:pStyle w:val="Cmsor3"/>
        <w:numPr>
          <w:ilvl w:val="2"/>
          <w:numId w:val="3"/>
        </w:numPr>
        <w:spacing w:after="160"/>
        <w:ind w:left="1701"/>
        <w:rPr>
          <w:rFonts w:ascii="Georgia" w:hAnsi="Georgia" w:cs="Times New Roman"/>
          <w:b/>
          <w:bCs/>
          <w:color w:val="auto"/>
        </w:rPr>
      </w:pPr>
      <w:bookmarkStart w:id="14" w:name="_Toc119421173"/>
      <w:r w:rsidRPr="007E723C">
        <w:rPr>
          <w:rFonts w:ascii="Georgia" w:hAnsi="Georgia" w:cs="Times New Roman"/>
          <w:b/>
          <w:bCs/>
          <w:color w:val="auto"/>
        </w:rPr>
        <w:t>Az Európai Unió nem pénzügyi jelentésekre vonatkozó irányelvei</w:t>
      </w:r>
      <w:bookmarkEnd w:id="14"/>
    </w:p>
    <w:p w14:paraId="3ABB7BFC" w14:textId="77777777" w:rsidR="006D1FC5" w:rsidRPr="007E723C" w:rsidRDefault="008C25BA" w:rsidP="008C25BA">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nem pénzügyi jelentéstétel megfelelő szabályozottsága felé komoly lépést tettek a törvényalkotók azzal, hogy 2014-ben megjelent egy, az Európai Unió által közreadott irányelv (Non-Financial Reporting Directive, a továbbiakban: NFRD), amely a 2017-es üzleti évtől kezdődően előírja, hogy az EU bizonyos közérdeklődésre számot tartó vállalkozásainak, bankoknak és biztosítóknak kötelező nem pénzügyi jelentést is készítenie. Ennek a 2014/95/EU irányelvnek az értelmében tehát az érintett vállalkozásoknak olyan információkat kell nyilvánosságra hozniuk, amelyek elősegítik azt, hogy az érintettek megértsék az adott vállalat környezetvédelemi és szociális kérdéskere vonatkozó tevékenységének hatásait</w:t>
      </w:r>
      <w:r w:rsidR="006D1FC5" w:rsidRPr="007E723C">
        <w:rPr>
          <w:rFonts w:ascii="Georgia" w:hAnsi="Georgia" w:cs="Times New Roman"/>
          <w:sz w:val="24"/>
          <w:szCs w:val="24"/>
        </w:rPr>
        <w:t xml:space="preserve"> </w:t>
      </w:r>
      <w:r w:rsidR="006D1FC5" w:rsidRPr="007E723C">
        <w:rPr>
          <w:rFonts w:ascii="Georgia" w:hAnsi="Georgia" w:cs="Times New Roman"/>
          <w:sz w:val="24"/>
          <w:szCs w:val="24"/>
        </w:rPr>
        <w:fldChar w:fldCharType="begin"/>
      </w:r>
      <w:r w:rsidR="006D1FC5" w:rsidRPr="007E723C">
        <w:rPr>
          <w:rFonts w:ascii="Georgia" w:hAnsi="Georgia" w:cs="Times New Roman"/>
          <w:sz w:val="24"/>
          <w:szCs w:val="24"/>
        </w:rPr>
        <w:instrText xml:space="preserve"> ADDIN ZOTERO_ITEM CSL_CITATION {"citationID":"tKwAZtEX","properties":{"formattedCitation":"(Boros \\uc0\\u233{}s mtsai., 2022)","plainCitation":"(Boros és mtsai., 2022)","noteIndex":0},"citationItems":[{"id":635,"uris":["http://zotero.org/users/9445126/items/JAP7ZJFM"],"itemData":{"id":635,"type":"article-journal","container-title":"PÉNZÜGYI SZEMLE/PUBLIC FINANCE QUARTERLY","issue":"2","note":"publisher: Állami Számvev\\Hoszék","page":"186–200","source":"Google Scholar","title":"A fenntarthatóság új szempontjai: a nem pénzügyi jelentések európai gyakorlatának elemzése","title-short":"A fenntarthatóság új szempontjai","volume":"67","author":[{"family":"Boros","given":"Anita"},{"family":"Lentner","given":"Csaba"},{"family":"Nagy","given":"Vitéz"}],"issued":{"date-parts":[["2022"]]}}}],"schema":"https://github.com/citation-style-language/schema/raw/master/csl-citation.json"} </w:instrText>
      </w:r>
      <w:r w:rsidR="006D1FC5" w:rsidRPr="007E723C">
        <w:rPr>
          <w:rFonts w:ascii="Georgia" w:hAnsi="Georgia" w:cs="Times New Roman"/>
          <w:sz w:val="24"/>
          <w:szCs w:val="24"/>
        </w:rPr>
        <w:fldChar w:fldCharType="separate"/>
      </w:r>
      <w:r w:rsidR="006D1FC5" w:rsidRPr="007E723C">
        <w:rPr>
          <w:rFonts w:ascii="Georgia" w:hAnsi="Georgia" w:cs="Times New Roman"/>
          <w:sz w:val="24"/>
          <w:szCs w:val="24"/>
        </w:rPr>
        <w:t>(Boros és mtsai., 2022)</w:t>
      </w:r>
      <w:r w:rsidR="006D1FC5" w:rsidRPr="007E723C">
        <w:rPr>
          <w:rFonts w:ascii="Georgia" w:hAnsi="Georgia" w:cs="Times New Roman"/>
          <w:sz w:val="24"/>
          <w:szCs w:val="24"/>
        </w:rPr>
        <w:fldChar w:fldCharType="end"/>
      </w:r>
      <w:r w:rsidR="008078E9" w:rsidRPr="007E723C">
        <w:rPr>
          <w:rFonts w:ascii="Georgia" w:hAnsi="Georgia" w:cs="Times New Roman"/>
          <w:sz w:val="24"/>
          <w:szCs w:val="24"/>
        </w:rPr>
        <w:t xml:space="preserve">. </w:t>
      </w:r>
    </w:p>
    <w:p w14:paraId="4E9BAB8F" w14:textId="67120E4D" w:rsidR="008078E9" w:rsidRPr="007E723C" w:rsidRDefault="008078E9" w:rsidP="006D1FC5">
      <w:pPr>
        <w:spacing w:after="0" w:line="360" w:lineRule="auto"/>
        <w:jc w:val="both"/>
        <w:rPr>
          <w:rFonts w:ascii="Georgia" w:hAnsi="Georgia" w:cs="Times New Roman"/>
          <w:sz w:val="24"/>
          <w:szCs w:val="24"/>
        </w:rPr>
      </w:pPr>
      <w:r w:rsidRPr="007E723C">
        <w:rPr>
          <w:rFonts w:ascii="Georgia" w:hAnsi="Georgia" w:cs="Times New Roman"/>
          <w:sz w:val="24"/>
          <w:szCs w:val="24"/>
        </w:rPr>
        <w:t xml:space="preserve">Ez a követelmény értelemszerűen a magyar számviteli törvénybe is bekerült, melynek 95/C paragrafusa </w:t>
      </w:r>
      <w:r w:rsidR="00700737" w:rsidRPr="007E723C">
        <w:rPr>
          <w:rFonts w:ascii="Georgia" w:hAnsi="Georgia" w:cs="Times New Roman"/>
          <w:sz w:val="24"/>
          <w:szCs w:val="24"/>
        </w:rPr>
        <w:t>í</w:t>
      </w:r>
      <w:r w:rsidRPr="007E723C">
        <w:rPr>
          <w:rFonts w:ascii="Georgia" w:hAnsi="Georgia" w:cs="Times New Roman"/>
          <w:sz w:val="24"/>
          <w:szCs w:val="24"/>
        </w:rPr>
        <w:t xml:space="preserve">gy rendelkezik: </w:t>
      </w:r>
    </w:p>
    <w:p w14:paraId="4D3B16A5" w14:textId="77777777" w:rsidR="008078E9" w:rsidRPr="007E723C" w:rsidRDefault="008078E9" w:rsidP="00700737">
      <w:pPr>
        <w:spacing w:after="0" w:line="360" w:lineRule="auto"/>
        <w:jc w:val="both"/>
        <w:rPr>
          <w:rFonts w:ascii="Georgia" w:hAnsi="Georgia" w:cs="Times New Roman"/>
          <w:sz w:val="24"/>
          <w:szCs w:val="24"/>
        </w:rPr>
      </w:pPr>
      <w:r w:rsidRPr="007E723C">
        <w:rPr>
          <w:rFonts w:ascii="Georgia" w:hAnsi="Georgia" w:cs="Times New Roman"/>
          <w:sz w:val="24"/>
          <w:szCs w:val="24"/>
        </w:rPr>
        <w:t>„(1) Az a közérdeklődésre számot tartó gazdálkodónak minősülő vállalkozás, amelynél</w:t>
      </w:r>
    </w:p>
    <w:p w14:paraId="3A8CFD13" w14:textId="1D007B27" w:rsidR="008078E9" w:rsidRPr="007E723C" w:rsidRDefault="008078E9" w:rsidP="00700737">
      <w:pPr>
        <w:spacing w:after="0" w:line="360" w:lineRule="auto"/>
        <w:ind w:left="709"/>
        <w:jc w:val="both"/>
        <w:rPr>
          <w:rFonts w:ascii="Georgia" w:hAnsi="Georgia" w:cs="Times New Roman"/>
          <w:sz w:val="24"/>
          <w:szCs w:val="24"/>
        </w:rPr>
      </w:pPr>
      <w:r w:rsidRPr="007E723C">
        <w:rPr>
          <w:rFonts w:ascii="Georgia" w:hAnsi="Georgia" w:cs="Times New Roman"/>
          <w:sz w:val="24"/>
          <w:szCs w:val="24"/>
        </w:rPr>
        <w:t>a) az üzleti évet megelőző két - egymást követő - üzleti évben a mérleg</w:t>
      </w:r>
      <w:r w:rsidR="00700737" w:rsidRPr="007E723C">
        <w:rPr>
          <w:rFonts w:ascii="Georgia" w:hAnsi="Georgia" w:cs="Times New Roman"/>
          <w:sz w:val="24"/>
          <w:szCs w:val="24"/>
        </w:rPr>
        <w:t xml:space="preserve"> </w:t>
      </w:r>
      <w:r w:rsidRPr="007E723C">
        <w:rPr>
          <w:rFonts w:ascii="Georgia" w:hAnsi="Georgia" w:cs="Times New Roman"/>
          <w:sz w:val="24"/>
          <w:szCs w:val="24"/>
        </w:rPr>
        <w:t>fordulónapján a</w:t>
      </w:r>
      <w:r w:rsidR="00700737" w:rsidRPr="007E723C">
        <w:rPr>
          <w:rFonts w:ascii="Georgia" w:hAnsi="Georgia" w:cs="Times New Roman"/>
          <w:sz w:val="24"/>
          <w:szCs w:val="24"/>
        </w:rPr>
        <w:t xml:space="preserve"> </w:t>
      </w:r>
      <w:r w:rsidRPr="007E723C">
        <w:rPr>
          <w:rFonts w:ascii="Georgia" w:hAnsi="Georgia" w:cs="Times New Roman"/>
          <w:sz w:val="24"/>
          <w:szCs w:val="24"/>
        </w:rPr>
        <w:t>következő három mutatóérték közül bármelyik kettő meghaladta az alábbi határértéket:</w:t>
      </w:r>
    </w:p>
    <w:p w14:paraId="4DD5A2C9" w14:textId="77777777" w:rsidR="008078E9" w:rsidRPr="007E723C" w:rsidRDefault="008078E9" w:rsidP="00700737">
      <w:pPr>
        <w:spacing w:after="0" w:line="360" w:lineRule="auto"/>
        <w:ind w:left="720" w:firstLine="720"/>
        <w:jc w:val="both"/>
        <w:rPr>
          <w:rFonts w:ascii="Georgia" w:hAnsi="Georgia" w:cs="Times New Roman"/>
          <w:sz w:val="24"/>
          <w:szCs w:val="24"/>
        </w:rPr>
      </w:pPr>
      <w:r w:rsidRPr="007E723C">
        <w:rPr>
          <w:rFonts w:ascii="Georgia" w:hAnsi="Georgia" w:cs="Times New Roman"/>
          <w:sz w:val="24"/>
          <w:szCs w:val="24"/>
        </w:rPr>
        <w:t>aa) a mérlegfőösszeg a 6 000 millió forintot,</w:t>
      </w:r>
    </w:p>
    <w:p w14:paraId="189EFC41" w14:textId="77777777" w:rsidR="00700737" w:rsidRPr="007E723C" w:rsidRDefault="008078E9" w:rsidP="00700737">
      <w:pPr>
        <w:spacing w:after="0" w:line="360" w:lineRule="auto"/>
        <w:ind w:left="720" w:firstLine="720"/>
        <w:jc w:val="both"/>
        <w:rPr>
          <w:rFonts w:ascii="Georgia" w:hAnsi="Georgia" w:cs="Times New Roman"/>
          <w:sz w:val="24"/>
          <w:szCs w:val="24"/>
        </w:rPr>
      </w:pPr>
      <w:r w:rsidRPr="007E723C">
        <w:rPr>
          <w:rFonts w:ascii="Georgia" w:hAnsi="Georgia" w:cs="Times New Roman"/>
          <w:sz w:val="24"/>
          <w:szCs w:val="24"/>
        </w:rPr>
        <w:t>ab) az éves nettó árbevétel a 12 000 millió forintot,</w:t>
      </w:r>
    </w:p>
    <w:p w14:paraId="0D23FCC7" w14:textId="67F76307" w:rsidR="008078E9" w:rsidRPr="007E723C" w:rsidRDefault="008078E9" w:rsidP="00700737">
      <w:pPr>
        <w:spacing w:after="0" w:line="360" w:lineRule="auto"/>
        <w:ind w:left="720" w:firstLine="720"/>
        <w:jc w:val="both"/>
        <w:rPr>
          <w:rFonts w:ascii="Georgia" w:hAnsi="Georgia" w:cs="Times New Roman"/>
          <w:sz w:val="24"/>
          <w:szCs w:val="24"/>
        </w:rPr>
      </w:pPr>
      <w:r w:rsidRPr="007E723C">
        <w:rPr>
          <w:rFonts w:ascii="Georgia" w:hAnsi="Georgia" w:cs="Times New Roman"/>
          <w:sz w:val="24"/>
          <w:szCs w:val="24"/>
        </w:rPr>
        <w:t>ac) az üzleti évben átlagosan foglalkoztatottak száma a 250 főt, és</w:t>
      </w:r>
    </w:p>
    <w:p w14:paraId="38A5295F" w14:textId="77777777" w:rsidR="008078E9" w:rsidRPr="007E723C" w:rsidRDefault="008078E9" w:rsidP="00CC2B89">
      <w:pPr>
        <w:spacing w:after="0" w:line="360" w:lineRule="auto"/>
        <w:ind w:left="709"/>
        <w:jc w:val="both"/>
        <w:rPr>
          <w:rFonts w:ascii="Georgia" w:hAnsi="Georgia" w:cs="Times New Roman"/>
          <w:sz w:val="24"/>
          <w:szCs w:val="24"/>
        </w:rPr>
      </w:pPr>
      <w:r w:rsidRPr="007E723C">
        <w:rPr>
          <w:rFonts w:ascii="Georgia" w:hAnsi="Georgia" w:cs="Times New Roman"/>
          <w:sz w:val="24"/>
          <w:szCs w:val="24"/>
        </w:rPr>
        <w:lastRenderedPageBreak/>
        <w:t>b) az adott üzleti évben átlagosan foglalkoztatottak száma meghaladja az 500 főt,</w:t>
      </w:r>
    </w:p>
    <w:p w14:paraId="3330FB80" w14:textId="77777777" w:rsidR="008078E9" w:rsidRPr="007E723C" w:rsidRDefault="008078E9" w:rsidP="00CC2B89">
      <w:pPr>
        <w:spacing w:after="0" w:line="360" w:lineRule="auto"/>
        <w:jc w:val="both"/>
        <w:rPr>
          <w:rFonts w:ascii="Georgia" w:hAnsi="Georgia" w:cs="Times New Roman"/>
          <w:sz w:val="24"/>
          <w:szCs w:val="24"/>
        </w:rPr>
      </w:pPr>
      <w:r w:rsidRPr="007E723C">
        <w:rPr>
          <w:rFonts w:ascii="Georgia" w:hAnsi="Georgia" w:cs="Times New Roman"/>
          <w:sz w:val="24"/>
          <w:szCs w:val="24"/>
        </w:rPr>
        <w:t>üzleti jelentésében - a vállalkozás fejlődésének, teljesítményének, helyzetének és</w:t>
      </w:r>
    </w:p>
    <w:p w14:paraId="4708CBE9" w14:textId="7FA7B0CC" w:rsidR="008078E9" w:rsidRPr="007E723C" w:rsidRDefault="008078E9" w:rsidP="00CC2B89">
      <w:pPr>
        <w:spacing w:line="360" w:lineRule="auto"/>
        <w:jc w:val="both"/>
        <w:rPr>
          <w:rFonts w:ascii="Georgia" w:hAnsi="Georgia" w:cs="Times New Roman"/>
          <w:sz w:val="24"/>
          <w:szCs w:val="24"/>
        </w:rPr>
      </w:pPr>
      <w:r w:rsidRPr="007E723C">
        <w:rPr>
          <w:rFonts w:ascii="Georgia" w:hAnsi="Georgia" w:cs="Times New Roman"/>
          <w:sz w:val="24"/>
          <w:szCs w:val="24"/>
        </w:rPr>
        <w:t xml:space="preserve">tevékenységei hatásának megértéséhez szükséges mértékben </w:t>
      </w:r>
      <w:r w:rsidR="00700737" w:rsidRPr="007E723C">
        <w:rPr>
          <w:rFonts w:ascii="Georgia" w:hAnsi="Georgia" w:cs="Times New Roman"/>
          <w:sz w:val="24"/>
          <w:szCs w:val="24"/>
        </w:rPr>
        <w:t>–</w:t>
      </w:r>
      <w:r w:rsidRPr="007E723C">
        <w:rPr>
          <w:rFonts w:ascii="Georgia" w:hAnsi="Georgia" w:cs="Times New Roman"/>
          <w:sz w:val="24"/>
          <w:szCs w:val="24"/>
        </w:rPr>
        <w:t xml:space="preserve"> a</w:t>
      </w:r>
      <w:r w:rsidR="00700737" w:rsidRPr="007E723C">
        <w:rPr>
          <w:rFonts w:ascii="Georgia" w:hAnsi="Georgia" w:cs="Times New Roman"/>
          <w:sz w:val="24"/>
          <w:szCs w:val="24"/>
        </w:rPr>
        <w:t xml:space="preserve"> </w:t>
      </w:r>
      <w:r w:rsidRPr="007E723C">
        <w:rPr>
          <w:rFonts w:ascii="Georgia" w:hAnsi="Georgia" w:cs="Times New Roman"/>
          <w:sz w:val="24"/>
          <w:szCs w:val="24"/>
        </w:rPr>
        <w:t>környezetvédelmi, a</w:t>
      </w:r>
      <w:r w:rsidR="00700737" w:rsidRPr="007E723C">
        <w:rPr>
          <w:rFonts w:ascii="Georgia" w:hAnsi="Georgia" w:cs="Times New Roman"/>
          <w:sz w:val="24"/>
          <w:szCs w:val="24"/>
        </w:rPr>
        <w:t xml:space="preserve"> </w:t>
      </w:r>
      <w:r w:rsidRPr="007E723C">
        <w:rPr>
          <w:rFonts w:ascii="Georgia" w:hAnsi="Georgia" w:cs="Times New Roman"/>
          <w:sz w:val="24"/>
          <w:szCs w:val="24"/>
        </w:rPr>
        <w:t>szociális és foglalkoztatási kérdésekre, az emberi jogok tiszteletben tartására, a</w:t>
      </w:r>
      <w:r w:rsidR="00700737" w:rsidRPr="007E723C">
        <w:rPr>
          <w:rFonts w:ascii="Georgia" w:hAnsi="Georgia" w:cs="Times New Roman"/>
          <w:sz w:val="24"/>
          <w:szCs w:val="24"/>
        </w:rPr>
        <w:t xml:space="preserve"> </w:t>
      </w:r>
      <w:r w:rsidRPr="007E723C">
        <w:rPr>
          <w:rFonts w:ascii="Georgia" w:hAnsi="Georgia" w:cs="Times New Roman"/>
          <w:sz w:val="24"/>
          <w:szCs w:val="24"/>
        </w:rPr>
        <w:t>korrupció elleni küzdelemre és a megvesztegetésre vonatkozó információkat tartalmazó</w:t>
      </w:r>
      <w:r w:rsidR="00700737" w:rsidRPr="007E723C">
        <w:rPr>
          <w:rFonts w:ascii="Georgia" w:hAnsi="Georgia" w:cs="Times New Roman"/>
          <w:sz w:val="24"/>
          <w:szCs w:val="24"/>
        </w:rPr>
        <w:t xml:space="preserve"> </w:t>
      </w:r>
      <w:r w:rsidRPr="007E723C">
        <w:rPr>
          <w:rFonts w:ascii="Georgia" w:hAnsi="Georgia" w:cs="Times New Roman"/>
          <w:sz w:val="24"/>
          <w:szCs w:val="24"/>
        </w:rPr>
        <w:t xml:space="preserve">nem pénzügyi kimutatást tesz közzé.” </w:t>
      </w:r>
      <w:r w:rsidR="006D1FC5" w:rsidRPr="007E723C">
        <w:rPr>
          <w:rFonts w:ascii="Georgia" w:hAnsi="Georgia" w:cs="Times New Roman"/>
          <w:sz w:val="24"/>
          <w:szCs w:val="24"/>
        </w:rPr>
        <w:fldChar w:fldCharType="begin"/>
      </w:r>
      <w:r w:rsidR="00B33DE5" w:rsidRPr="007E723C">
        <w:rPr>
          <w:rFonts w:ascii="Georgia" w:hAnsi="Georgia" w:cs="Times New Roman"/>
          <w:sz w:val="24"/>
          <w:szCs w:val="24"/>
        </w:rPr>
        <w:instrText xml:space="preserve"> ADDIN ZOTERO_ITEM CSL_CITATION {"citationID":"djPVA5ED","properties":{"formattedCitation":"(2000. \\uc0\\u233{}vi C. t\\uc0\\u246{}rv\\uc0\\u233{}ny a sz\\uc0\\u225{}mvitelr\\uc0\\u337{}l, \\uc0\\u233{}. n.)","plainCitation":"(2000. évi C. törvény a számvitelről, é. n.)","dontUpdate":true,"noteIndex":0},"citationItems":[{"id":719,"uris":["http://zotero.org/users/9445126/items/HIV9EWPZ"],"itemData":{"id":719,"type":"legislation","title":"2000. évi C. törvény a számvitelről"}}],"schema":"https://github.com/citation-style-language/schema/raw/master/csl-citation.json"} </w:instrText>
      </w:r>
      <w:r w:rsidR="006D1FC5" w:rsidRPr="007E723C">
        <w:rPr>
          <w:rFonts w:ascii="Georgia" w:hAnsi="Georgia" w:cs="Times New Roman"/>
          <w:sz w:val="24"/>
          <w:szCs w:val="24"/>
        </w:rPr>
        <w:fldChar w:fldCharType="separate"/>
      </w:r>
      <w:r w:rsidR="006D1FC5" w:rsidRPr="007E723C">
        <w:rPr>
          <w:rFonts w:ascii="Georgia" w:hAnsi="Georgia" w:cs="Times New Roman"/>
          <w:sz w:val="24"/>
          <w:szCs w:val="24"/>
        </w:rPr>
        <w:t>(2000. évi C. törvény a számvitelről)</w:t>
      </w:r>
      <w:r w:rsidR="006D1FC5" w:rsidRPr="007E723C">
        <w:rPr>
          <w:rFonts w:ascii="Georgia" w:hAnsi="Georgia" w:cs="Times New Roman"/>
          <w:sz w:val="24"/>
          <w:szCs w:val="24"/>
        </w:rPr>
        <w:fldChar w:fldCharType="end"/>
      </w:r>
    </w:p>
    <w:p w14:paraId="3BF2B42D" w14:textId="75A9594E" w:rsidR="008C25BA" w:rsidRPr="007E723C" w:rsidRDefault="008C25BA" w:rsidP="00CC2B89">
      <w:pPr>
        <w:spacing w:line="360" w:lineRule="auto"/>
        <w:ind w:firstLine="709"/>
        <w:jc w:val="both"/>
        <w:rPr>
          <w:rFonts w:ascii="Georgia" w:hAnsi="Georgia" w:cs="Times New Roman"/>
          <w:sz w:val="24"/>
          <w:szCs w:val="24"/>
        </w:rPr>
      </w:pPr>
      <w:r w:rsidRPr="007E723C">
        <w:rPr>
          <w:rFonts w:ascii="Georgia" w:hAnsi="Georgia" w:cs="Times New Roman"/>
          <w:sz w:val="24"/>
          <w:szCs w:val="24"/>
        </w:rPr>
        <w:t>Néhány évvel később, 2019-ben az Európai Bizottság megfogalmazott egy újabb iránymutatást, amely arra helyezi a hangsúlyt, hogy a vállalkozásoknak milyen elvek mentén kell összeállítani</w:t>
      </w:r>
      <w:r w:rsidR="003A22ED" w:rsidRPr="007E723C">
        <w:rPr>
          <w:rFonts w:ascii="Georgia" w:hAnsi="Georgia" w:cs="Times New Roman"/>
          <w:sz w:val="24"/>
          <w:szCs w:val="24"/>
        </w:rPr>
        <w:t>uk</w:t>
      </w:r>
      <w:r w:rsidRPr="007E723C">
        <w:rPr>
          <w:rFonts w:ascii="Georgia" w:hAnsi="Georgia" w:cs="Times New Roman"/>
          <w:sz w:val="24"/>
          <w:szCs w:val="24"/>
        </w:rPr>
        <w:t xml:space="preserve"> a nem pénzügyi jelentés azon részeit, amelyek az éghajlattal, éghajlatváltozással kapcsolato</w:t>
      </w:r>
      <w:r w:rsidR="000E7CCE">
        <w:rPr>
          <w:rFonts w:ascii="Georgia" w:hAnsi="Georgia" w:cs="Times New Roman"/>
          <w:sz w:val="24"/>
          <w:szCs w:val="24"/>
        </w:rPr>
        <w:t>sak</w:t>
      </w:r>
      <w:r w:rsidRPr="007E723C">
        <w:rPr>
          <w:rFonts w:ascii="Georgia" w:hAnsi="Georgia" w:cs="Times New Roman"/>
          <w:sz w:val="24"/>
          <w:szCs w:val="24"/>
        </w:rPr>
        <w:t xml:space="preserve">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{"citationID":"DI50kmep","properties":{"formattedCitation":"(Boros \\uc0\\u233{}s mtsai., 2022)","plainCitation":"(Boros és mtsai., 2022)","noteIndex":0},"citationItems":[{"id":635,"uris":["http://zotero.org/users/9445126/items/JAP7ZJFM"],"itemData":{"id":635,"type":"article-journal","container-title":"PÉNZÜGYI SZEMLE/PUBLIC FINANCE QUARTERLY","issue":"2","note":"publisher: Állami Számvev\\Hoszék","page":"186–200","source":"Google Scholar","title":"A fenntarthatóság új szempontjai: a nem pénzügyi jelentések európai gyakorlatának elemzése","title-short":"A fenntarthatóság új szempontjai","volume":"67","author":[{"family":"Boros","given":"Anita"},{"family":"Lentner","given":"Csaba"},{"family":"Nagy","given":"Vitéz"}],"issued":{"date-parts":[["2022"]]}}}],"schema":"https://github.com/citation-style-language/schema/raw/master/csl-citation.json"}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(Boros és mtsai., 2022)</w:t>
      </w:r>
      <w:r w:rsidRPr="007E723C">
        <w:rPr>
          <w:rFonts w:ascii="Georgia" w:hAnsi="Georgia" w:cs="Times New Roman"/>
          <w:sz w:val="24"/>
          <w:szCs w:val="24"/>
        </w:rPr>
        <w:fldChar w:fldCharType="end"/>
      </w:r>
      <w:r w:rsidRPr="007E723C">
        <w:rPr>
          <w:rFonts w:ascii="Georgia" w:hAnsi="Georgia" w:cs="Times New Roman"/>
          <w:sz w:val="24"/>
          <w:szCs w:val="24"/>
        </w:rPr>
        <w:t>.</w:t>
      </w:r>
    </w:p>
    <w:p w14:paraId="68F708B3" w14:textId="0B0804F6" w:rsidR="008C25BA" w:rsidRPr="007E723C" w:rsidRDefault="008C25BA" w:rsidP="006D1FC5">
      <w:pPr>
        <w:spacing w:line="360" w:lineRule="auto"/>
        <w:ind w:firstLine="709"/>
        <w:jc w:val="both"/>
        <w:rPr>
          <w:rFonts w:ascii="Georgia" w:hAnsi="Georgia" w:cs="Times New Roman"/>
          <w:sz w:val="24"/>
          <w:szCs w:val="24"/>
        </w:rPr>
      </w:pPr>
      <w:r w:rsidRPr="007E723C">
        <w:rPr>
          <w:rFonts w:ascii="Georgia" w:hAnsi="Georgia" w:cs="Times New Roman"/>
          <w:sz w:val="24"/>
          <w:szCs w:val="24"/>
        </w:rPr>
        <w:t>Szintén ebben az évben adták ki azt az uniós rendeletet is, amely a pénzügyi szolgáltatók fenntarthatósági jelentéstételével foglalkozik. Ennek a 2019/2088 EU rendeletnek (Sustainable Finance DisclosureRegulation, SFDR) a fő célja az, hogy valamilyen szinten korlátot szabjanak a „zöldrefestésnek”, ami</w:t>
      </w:r>
      <w:r w:rsidR="00053D1B" w:rsidRPr="007E723C">
        <w:rPr>
          <w:rFonts w:ascii="Georgia" w:hAnsi="Georgia" w:cs="Times New Roman"/>
          <w:sz w:val="24"/>
          <w:szCs w:val="24"/>
        </w:rPr>
        <w:t xml:space="preserve"> azt jelenti, hogy a </w:t>
      </w:r>
      <w:r w:rsidRPr="007E723C">
        <w:rPr>
          <w:rFonts w:ascii="Georgia" w:hAnsi="Georgia" w:cs="Times New Roman"/>
          <w:sz w:val="24"/>
          <w:szCs w:val="24"/>
        </w:rPr>
        <w:t xml:space="preserve">fenntarthatónak, környezet-és éghajlatbarátnak nevezett pénzügyi termékek vagy vállalatok valójában nem felelnek meg ezeknek a besorolásoknak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{"citationID":"Yw7VWhG5","properties":{"formattedCitation":"(Boros \\uc0\\u233{}s mtsai., 2022)","plainCitation":"(Boros és mtsai., 2022)","noteIndex":0},"citationItems":[{"id":635,"uris":["http://zotero.org/users/9445126/items/JAP7ZJFM"],"itemData":{"id":635,"type":"article-journal","container-title":"PÉNZÜGYI SZEMLE/PUBLIC FINANCE QUARTERLY","issue":"2","note":"publisher: Állami Számvev\\Hoszék","page":"186–200","source":"Google Scholar","title":"A fenntarthatóság új szempontjai: a nem pénzügyi jelentések európai gyakorlatának elemzése","title-short":"A fenntarthatóság új szempontjai","volume":"67","author":[{"family":"Boros","given":"Anita"},{"family":"Lentner","given":"Csaba"},{"family":"Nagy","given":"Vitéz"}],"issued":{"date-parts":[["2022"]]}},"label":"pag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(Boros és mtsai., 2022)</w:t>
      </w:r>
      <w:r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68159983" w14:textId="21A72CED" w:rsidR="008C25BA" w:rsidRPr="007E723C" w:rsidRDefault="008C25BA" w:rsidP="006D1FC5">
      <w:pPr>
        <w:spacing w:line="360" w:lineRule="auto"/>
        <w:ind w:firstLine="709"/>
        <w:jc w:val="both"/>
        <w:rPr>
          <w:rFonts w:ascii="Georgia" w:hAnsi="Georgia" w:cs="Times New Roman"/>
          <w:sz w:val="24"/>
          <w:szCs w:val="24"/>
        </w:rPr>
      </w:pPr>
      <w:r w:rsidRPr="007E723C">
        <w:rPr>
          <w:rFonts w:ascii="Georgia" w:hAnsi="Georgia" w:cs="Times New Roman"/>
          <w:sz w:val="24"/>
          <w:szCs w:val="24"/>
        </w:rPr>
        <w:t>Az Európai Unió taxonómiarendelete 2020-ban jelent meg, amely egy egységes fogalmi és kritériumrendszert teremtett meg, hiszen a szabályozás kimondta, hogy milyen jellegű gazdasági tevékenységek tekinthetőek zöldnek, környezeti szempontból fenntarthatónak. Ehhez a minősítéshez arra van szükség, hogy a tevékenység legalább négy előírt követelménynek megfeleljen és egyet se sértsen meg. A rendelet fő fókuszában a pénzügyi termékek, pénzügyi szolgáltatók állnak, így a szabályozás fő célja a zöld finanszírozás</w:t>
      </w:r>
      <w:r w:rsidR="00053D1B" w:rsidRPr="007E723C">
        <w:rPr>
          <w:rFonts w:ascii="Georgia" w:hAnsi="Georgia" w:cs="Times New Roman"/>
          <w:sz w:val="24"/>
          <w:szCs w:val="24"/>
        </w:rPr>
        <w:t xml:space="preserve"> elősegítése</w:t>
      </w:r>
      <w:r w:rsidRPr="007E723C">
        <w:rPr>
          <w:rFonts w:ascii="Georgia" w:hAnsi="Georgia" w:cs="Times New Roman"/>
          <w:sz w:val="24"/>
          <w:szCs w:val="24"/>
        </w:rPr>
        <w:t xml:space="preserve">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{"citationID":"ac8rueRE","properties":{"formattedCitation":"(Boros \\uc0\\u233{}s mtsai., 2022)","plainCitation":"(Boros és mtsai., 2022)","noteIndex":0},"citationItems":[{"id":635,"uris":["http://zotero.org/users/9445126/items/JAP7ZJFM"],"itemData":{"id":635,"type":"article-journal","container-title":"PÉNZÜGYI SZEMLE/PUBLIC FINANCE QUARTERLY","issue":"2","note":"publisher: Állami Számvev\\Hoszék","page":"186–200","source":"Google Scholar","title":"A fenntarthatóság új szempontjai: a nem pénzügyi jelentések európai gyakorlatának elemzése","title-short":"A fenntarthatóság új szempontjai","volume":"67","author":[{"family":"Boros","given":"Anita"},{"family":"Lentner","given":"Csaba"},{"family":"Nagy","given":"Vitéz"}],"issued":{"date-parts":[["2022"]]}}}],"schema":"https://github.com/citation-style-language/schema/raw/master/csl-citation.json"}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(Boros és mtsai., 2022)</w:t>
      </w:r>
      <w:r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1FAF124E" w14:textId="3FF18D1D" w:rsidR="008C25BA" w:rsidRDefault="008C25BA" w:rsidP="008C25BA">
      <w:pPr>
        <w:spacing w:line="360" w:lineRule="auto"/>
        <w:ind w:firstLine="709"/>
        <w:jc w:val="both"/>
        <w:rPr>
          <w:rFonts w:ascii="Georgia" w:hAnsi="Georgia" w:cs="Times New Roman"/>
          <w:sz w:val="24"/>
          <w:szCs w:val="24"/>
        </w:rPr>
      </w:pPr>
      <w:r w:rsidRPr="007E723C">
        <w:rPr>
          <w:rFonts w:ascii="Georgia" w:hAnsi="Georgia" w:cs="Times New Roman"/>
          <w:sz w:val="24"/>
          <w:szCs w:val="24"/>
        </w:rPr>
        <w:t>2021 tavaszán fogadta el a</w:t>
      </w:r>
      <w:r w:rsidR="00053D1B" w:rsidRPr="007E723C">
        <w:rPr>
          <w:rFonts w:ascii="Georgia" w:hAnsi="Georgia" w:cs="Times New Roman"/>
          <w:sz w:val="24"/>
          <w:szCs w:val="24"/>
        </w:rPr>
        <w:t xml:space="preserve">z Európai Unió </w:t>
      </w:r>
      <w:r w:rsidRPr="007E723C">
        <w:rPr>
          <w:rFonts w:ascii="Georgia" w:hAnsi="Georgia" w:cs="Times New Roman"/>
          <w:sz w:val="24"/>
          <w:szCs w:val="24"/>
        </w:rPr>
        <w:t>Bizottság</w:t>
      </w:r>
      <w:r w:rsidR="00053D1B" w:rsidRPr="007E723C">
        <w:rPr>
          <w:rFonts w:ascii="Georgia" w:hAnsi="Georgia" w:cs="Times New Roman"/>
          <w:sz w:val="24"/>
          <w:szCs w:val="24"/>
        </w:rPr>
        <w:t>a</w:t>
      </w:r>
      <w:r w:rsidRPr="007E723C">
        <w:rPr>
          <w:rFonts w:ascii="Georgia" w:hAnsi="Georgia" w:cs="Times New Roman"/>
          <w:sz w:val="24"/>
          <w:szCs w:val="24"/>
        </w:rPr>
        <w:t xml:space="preserve"> a korábban kiadott és jelenleg is érvényben lévő NFRD egyfajta módosítását. Ez a vállalati fenntarthatósági jelentéstételi irányelv (Corporate Sustainability Reporting Directive, CSRD) a korábbi változathoz képest már valamelyest szigorúbb és részletesebb beszámolási kötelezettséget ír elő, illetve kötelező, standardizált </w:t>
      </w:r>
      <w:r w:rsidRPr="007E723C">
        <w:rPr>
          <w:rFonts w:ascii="Georgia" w:hAnsi="Georgia" w:cs="Times New Roman"/>
          <w:sz w:val="24"/>
          <w:szCs w:val="24"/>
        </w:rPr>
        <w:lastRenderedPageBreak/>
        <w:t xml:space="preserve">jelentéstételt vezet be. </w:t>
      </w:r>
      <w:r w:rsidR="003A22ED" w:rsidRPr="007E723C">
        <w:rPr>
          <w:rFonts w:ascii="Georgia" w:hAnsi="Georgia" w:cs="Times New Roman"/>
          <w:sz w:val="24"/>
          <w:szCs w:val="24"/>
        </w:rPr>
        <w:t>Ahhoz, hogy ezek az előírásoknak a vállalatok meg is tudjanak felelni</w:t>
      </w:r>
      <w:r w:rsidRPr="007E723C">
        <w:rPr>
          <w:rFonts w:ascii="Georgia" w:hAnsi="Georgia" w:cs="Times New Roman"/>
          <w:sz w:val="24"/>
          <w:szCs w:val="24"/>
        </w:rPr>
        <w:t xml:space="preserve"> uniós szabványokra van szükség, amelyeket várhatóan 2022 őszéig dolgoznak majd ki</w:t>
      </w:r>
      <w:r w:rsidR="00053D1B" w:rsidRPr="007E723C">
        <w:rPr>
          <w:rFonts w:ascii="Georgia" w:hAnsi="Georgia" w:cs="Times New Roman"/>
          <w:sz w:val="24"/>
          <w:szCs w:val="24"/>
        </w:rPr>
        <w:t xml:space="preserve"> a jogalkotók</w:t>
      </w:r>
      <w:r w:rsidRPr="007E723C">
        <w:rPr>
          <w:rFonts w:ascii="Georgia" w:hAnsi="Georgia" w:cs="Times New Roman"/>
          <w:sz w:val="24"/>
          <w:szCs w:val="24"/>
        </w:rPr>
        <w:t xml:space="preserve">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{"citationID":"TBRvqVmW","properties":{"formattedCitation":"(Boros \\uc0\\u233{}s mtsai., 2022)","plainCitation":"(Boros és mtsai., 2022)","noteIndex":0},"citationItems":[{"id":635,"uris":["http://zotero.org/users/9445126/items/JAP7ZJFM"],"itemData":{"id":635,"type":"article-journal","container-title":"PÉNZÜGYI SZEMLE/PUBLIC FINANCE QUARTERLY","issue":"2","note":"publisher: Állami Számvev\\Hoszék","page":"186–200","source":"Google Scholar","title":"A fenntarthatóság új szempontjai: a nem pénzügyi jelentések európai gyakorlatának elemzése","title-short":"A fenntarthatóság új szempontjai","volume":"67","author":[{"family":"Boros","given":"Anita"},{"family":"Lentner","given":"Csaba"},{"family":"Nagy","given":"Vitéz"}],"issued":{"date-parts":[["2022"]]}}}],"schema":"https://github.com/citation-style-language/schema/raw/master/csl-citation.json"}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(Boros és mtsai., 2022)</w:t>
      </w:r>
      <w:r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30BF78CA" w14:textId="6FA43834" w:rsidR="008D398B" w:rsidRDefault="008D398B" w:rsidP="008C25BA">
      <w:pPr>
        <w:spacing w:line="360" w:lineRule="auto"/>
        <w:ind w:firstLine="709"/>
        <w:jc w:val="both"/>
        <w:rPr>
          <w:rFonts w:ascii="Georgia" w:hAnsi="Georgia" w:cs="Times New Roman"/>
          <w:sz w:val="24"/>
          <w:szCs w:val="24"/>
        </w:rPr>
      </w:pPr>
      <w:r>
        <w:rPr>
          <w:rFonts w:ascii="Georgia" w:hAnsi="Georgia" w:cs="Times New Roman"/>
          <w:sz w:val="24"/>
          <w:szCs w:val="24"/>
        </w:rPr>
        <w:t>2021 nyarán jelentette be az Európai Unió Tanácsa, hogy megállapodás született a fenntarthatósági jelentésekről szóló irányelvről (CSRD). Az új szabályozás értelmében részletesebb jelentéstételi előírásokat vezetnek be, melyhez tanúsítási követelményt is társítanak. Emellett a szabályozás előírja, hogy a jelentéstételi kötelezettségnek az üzleti jelentés egy erre a célra kijelölt részében kell majd eleget tenni. Maga a CSRD valamennyire nagyvállalatra és tőzsdén jegyzett vállalatra nézve lesz kötelező érvényű, beleértve a kis- és középvállalkozásokat is. Ez az új irányelv első alkalommal vezetné be a fenntarthatósági közzétételek könyvvizsgálatát, ezzel pedig a nem pénzügyi beszámolás jelentőségének szintjén az általános pénzügyi beszámolás szintjére emelik. Az előírt iránymutatásokat 2024. január 1-jétől kell majd kötelezően alkalmazni</w:t>
      </w:r>
      <w:r w:rsidR="00C214F1">
        <w:rPr>
          <w:rFonts w:ascii="Georgia" w:hAnsi="Georgia" w:cs="Times New Roman"/>
          <w:sz w:val="24"/>
          <w:szCs w:val="24"/>
        </w:rPr>
        <w:t xml:space="preserve"> </w:t>
      </w:r>
      <w:r w:rsidR="00C214F1">
        <w:rPr>
          <w:rFonts w:ascii="Georgia" w:hAnsi="Georgia" w:cs="Times New Roman"/>
          <w:sz w:val="24"/>
          <w:szCs w:val="24"/>
        </w:rPr>
        <w:fldChar w:fldCharType="begin"/>
      </w:r>
      <w:r w:rsidR="00C214F1">
        <w:rPr>
          <w:rFonts w:ascii="Georgia" w:hAnsi="Georgia" w:cs="Times New Roman"/>
          <w:sz w:val="24"/>
          <w:szCs w:val="24"/>
        </w:rPr>
        <w:instrText xml:space="preserve"> ADDIN ZOTERO_ITEM CSL_CITATION {"citationID":"QtLm0ySJ","properties":{"formattedCitation":"({\\i{}Proposal for a Directive of The European Parliament and of The Council Amending Directive 2013/34/EU, Directive 2004/109/EC, Directive 2006/43/EC and Regulation (EU) No 537/2014, as Regards Corporate Sustainability Reporting}, 2021)","plainCitation":"(Proposal for a Directive of The European Parliament and of The Council Amending Directive 2013/34/EU, Directive 2004/109/EC, Directive 2006/43/EC and Regulation (EU) No 537/2014, as Regards Corporate Sustainability Reporting, 2021)","noteIndex":0},"citationItems":[{"id":822,"uris":["http://zotero.org/users/9445126/items/6M23TMRX"],"itemData":{"id":822,"type":"bill","language":"en","title":"Proposal for a directive of The European Parliament and of The Council amending Directive 2013/34/EU, Directive 2004/109/EC, Directive 2006/43/EC and Regulation (EU) No 537/2014, as regards corporate sustainability reporting","URL":"https://eur-lex.europa.eu/legal-content/EN/TXT/?uri=CELEX:52021PC0189","accessed":{"date-parts":[["2022",11,15]]},"issued":{"date-parts":[["2021"]]}}}],"schema":"https://github.com/citation-style-language/schema/raw/master/csl-citation.json"} </w:instrText>
      </w:r>
      <w:r w:rsidR="00C214F1">
        <w:rPr>
          <w:rFonts w:ascii="Georgia" w:hAnsi="Georgia" w:cs="Times New Roman"/>
          <w:sz w:val="24"/>
          <w:szCs w:val="24"/>
        </w:rPr>
        <w:fldChar w:fldCharType="separate"/>
      </w:r>
      <w:r w:rsidR="00C214F1" w:rsidRPr="00C214F1">
        <w:rPr>
          <w:rFonts w:ascii="Georgia" w:hAnsi="Georgia" w:cs="Times New Roman"/>
          <w:sz w:val="24"/>
          <w:szCs w:val="24"/>
        </w:rPr>
        <w:t>(</w:t>
      </w:r>
      <w:r w:rsidR="00C214F1" w:rsidRPr="00C214F1">
        <w:rPr>
          <w:rFonts w:ascii="Georgia" w:hAnsi="Georgia" w:cs="Times New Roman"/>
          <w:i/>
          <w:iCs/>
          <w:sz w:val="24"/>
          <w:szCs w:val="24"/>
        </w:rPr>
        <w:t>Proposal for a Directive of The European Parliament and of The Council Amending Directive 2013/34/EU, Directive 2004/109/EC, Directive 2006/43/EC and Regulation (EU) No 537/2014, as Regards Corporate Sustainability Reporting</w:t>
      </w:r>
      <w:r w:rsidR="00C214F1" w:rsidRPr="00C214F1">
        <w:rPr>
          <w:rFonts w:ascii="Georgia" w:hAnsi="Georgia" w:cs="Times New Roman"/>
          <w:sz w:val="24"/>
          <w:szCs w:val="24"/>
        </w:rPr>
        <w:t>, 2021)</w:t>
      </w:r>
      <w:r w:rsidR="00C214F1">
        <w:rPr>
          <w:rFonts w:ascii="Georgia" w:hAnsi="Georgia" w:cs="Times New Roman"/>
          <w:sz w:val="24"/>
          <w:szCs w:val="24"/>
        </w:rPr>
        <w:fldChar w:fldCharType="end"/>
      </w:r>
      <w:r w:rsidR="00C214F1">
        <w:rPr>
          <w:rFonts w:ascii="Georgia" w:hAnsi="Georgia" w:cs="Times New Roman"/>
          <w:sz w:val="24"/>
          <w:szCs w:val="24"/>
        </w:rPr>
        <w:t>.</w:t>
      </w:r>
    </w:p>
    <w:p w14:paraId="1A5DFA67" w14:textId="0F580CD9" w:rsidR="008C25BA" w:rsidRPr="007E723C" w:rsidRDefault="008C25BA" w:rsidP="00FF7AC9">
      <w:pPr>
        <w:pStyle w:val="Cmsor3"/>
        <w:numPr>
          <w:ilvl w:val="2"/>
          <w:numId w:val="3"/>
        </w:numPr>
        <w:spacing w:after="160"/>
        <w:ind w:left="1701"/>
        <w:rPr>
          <w:rFonts w:ascii="Georgia" w:hAnsi="Georgia" w:cs="Times New Roman"/>
          <w:b/>
          <w:bCs/>
          <w:color w:val="auto"/>
        </w:rPr>
      </w:pPr>
      <w:bookmarkStart w:id="15" w:name="_Toc119421174"/>
      <w:r w:rsidRPr="007E723C">
        <w:rPr>
          <w:rFonts w:ascii="Georgia" w:hAnsi="Georgia" w:cs="Times New Roman"/>
          <w:b/>
          <w:bCs/>
          <w:color w:val="auto"/>
        </w:rPr>
        <w:t>Nem pénzügyi beszámolási standardok</w:t>
      </w:r>
      <w:bookmarkEnd w:id="15"/>
    </w:p>
    <w:p w14:paraId="225C0082" w14:textId="77777777" w:rsidR="008C25BA" w:rsidRPr="007E723C" w:rsidRDefault="008C25BA" w:rsidP="008C25BA">
      <w:pPr>
        <w:spacing w:line="360" w:lineRule="auto"/>
        <w:ind w:firstLine="709"/>
        <w:jc w:val="both"/>
        <w:rPr>
          <w:rFonts w:ascii="Georgia" w:hAnsi="Georgia" w:cs="Times New Roman"/>
          <w:sz w:val="24"/>
          <w:szCs w:val="24"/>
        </w:rPr>
      </w:pPr>
      <w:r w:rsidRPr="007E723C">
        <w:rPr>
          <w:rFonts w:ascii="Georgia" w:hAnsi="Georgia" w:cs="Times New Roman"/>
          <w:sz w:val="24"/>
          <w:szCs w:val="24"/>
        </w:rPr>
        <w:t>Az Európai Unió által közreadott irányelvek nem csak azt szabályozzák, hogy a vállalatok tevékenységük környezeti és társadalmi hatásairól szolgáltassanak információt, hanem azt is, hogy ennek a jelentéstételi kötelezettségnek milyen nem pénzügyi beszámolási standard megfelelő alkalmazása révén tegyenek eleget. Ezen standardok közül a legismertebbek: a GRI, az ISO26000, az IR, az SASB, a CDP és a TCFD. Ebben az alfejezetben ezeket a nemzetközi keretrendszereket mutatom be röviden.</w:t>
      </w:r>
    </w:p>
    <w:p w14:paraId="3E8C52D1" w14:textId="77777777" w:rsidR="008C25BA" w:rsidRPr="007E723C" w:rsidRDefault="008C25BA" w:rsidP="008C25BA">
      <w:pPr>
        <w:spacing w:after="0" w:line="360" w:lineRule="auto"/>
        <w:ind w:firstLine="709"/>
        <w:jc w:val="both"/>
        <w:rPr>
          <w:rFonts w:ascii="Georgia" w:hAnsi="Georgia" w:cs="Times New Roman"/>
          <w:i/>
          <w:iCs/>
          <w:sz w:val="24"/>
          <w:szCs w:val="24"/>
        </w:rPr>
      </w:pPr>
      <w:r w:rsidRPr="007E723C">
        <w:rPr>
          <w:rFonts w:ascii="Georgia" w:hAnsi="Georgia" w:cs="Times New Roman"/>
          <w:i/>
          <w:iCs/>
          <w:sz w:val="24"/>
          <w:szCs w:val="24"/>
        </w:rPr>
        <w:t>GRI – Global Reporting Initiative</w:t>
      </w:r>
    </w:p>
    <w:p w14:paraId="680D40D4" w14:textId="574A797C" w:rsidR="00C92587" w:rsidRPr="007E723C" w:rsidRDefault="00055E3A" w:rsidP="00C92587">
      <w:pPr>
        <w:spacing w:line="360" w:lineRule="auto"/>
        <w:jc w:val="both"/>
        <w:rPr>
          <w:rFonts w:ascii="Georgia" w:hAnsi="Georgia" w:cs="Times New Roman"/>
          <w:sz w:val="24"/>
          <w:szCs w:val="24"/>
        </w:rPr>
      </w:pPr>
      <w:r w:rsidRPr="007E723C">
        <w:rPr>
          <w:rFonts w:ascii="Georgia" w:hAnsi="Georgia" w:cs="Times New Roman"/>
          <w:sz w:val="24"/>
          <w:szCs w:val="24"/>
        </w:rPr>
        <w:t>A GRI-t 1997-ben alapította a Coalition for Environmentally Responsible Economies (CERES) azzal a szándékkal, hogy globálisan alkalmazható fenntarthatósági jelentési keretrendszert hozzon létre.</w:t>
      </w:r>
      <w:r w:rsidR="00F8696B" w:rsidRPr="007E723C">
        <w:rPr>
          <w:rFonts w:ascii="Georgia" w:hAnsi="Georgia" w:cs="Times New Roman"/>
          <w:sz w:val="24"/>
          <w:szCs w:val="24"/>
        </w:rPr>
        <w:t xml:space="preserve"> Azóta a GRI</w:t>
      </w:r>
      <w:r w:rsidR="008C25BA" w:rsidRPr="007E723C">
        <w:rPr>
          <w:rFonts w:ascii="Georgia" w:hAnsi="Georgia" w:cs="Times New Roman"/>
          <w:sz w:val="24"/>
          <w:szCs w:val="24"/>
        </w:rPr>
        <w:t xml:space="preserve"> egyike a legnagyobb népszerűségnek örvendő nem pénzügyi jelentéstételre vonatkozó </w:t>
      </w:r>
      <w:r w:rsidR="00B33DE5" w:rsidRPr="007E723C">
        <w:rPr>
          <w:rFonts w:ascii="Georgia" w:hAnsi="Georgia" w:cs="Times New Roman"/>
          <w:sz w:val="24"/>
          <w:szCs w:val="24"/>
        </w:rPr>
        <w:t>standardoknak</w:t>
      </w:r>
      <w:r w:rsidR="008C25BA" w:rsidRPr="007E723C">
        <w:rPr>
          <w:rFonts w:ascii="Georgia" w:hAnsi="Georgia" w:cs="Times New Roman"/>
          <w:sz w:val="24"/>
          <w:szCs w:val="24"/>
        </w:rPr>
        <w:t xml:space="preserve">, </w:t>
      </w:r>
      <w:r w:rsidR="00F8696B" w:rsidRPr="007E723C">
        <w:rPr>
          <w:rFonts w:ascii="Georgia" w:hAnsi="Georgia" w:cs="Times New Roman"/>
          <w:sz w:val="24"/>
          <w:szCs w:val="24"/>
        </w:rPr>
        <w:t xml:space="preserve">amelyet </w:t>
      </w:r>
      <w:r w:rsidR="008C25BA" w:rsidRPr="007E723C">
        <w:rPr>
          <w:rFonts w:ascii="Georgia" w:hAnsi="Georgia" w:cs="Times New Roman"/>
          <w:sz w:val="24"/>
          <w:szCs w:val="24"/>
        </w:rPr>
        <w:t xml:space="preserve"> a KPMG </w:t>
      </w:r>
      <w:r w:rsidR="008C25BA" w:rsidRPr="007E723C">
        <w:rPr>
          <w:rFonts w:ascii="Georgia" w:hAnsi="Georgia" w:cs="Times New Roman"/>
          <w:sz w:val="24"/>
          <w:szCs w:val="24"/>
        </w:rPr>
        <w:fldChar w:fldCharType="begin"/>
      </w:r>
      <w:r w:rsidR="008C25BA" w:rsidRPr="007E723C">
        <w:rPr>
          <w:rFonts w:ascii="Georgia" w:hAnsi="Georgia" w:cs="Times New Roman"/>
          <w:sz w:val="24"/>
          <w:szCs w:val="24"/>
        </w:rPr>
        <w:instrText xml:space="preserve"> ADDIN ZOTERO_ITEM CSL_CITATION {"citationID":"dJSFTOlT","properties":{"formattedCitation":"(2017)","plainCitation":"(2017)","noteIndex":0},"citationItems":[{"id":647,"uris":["http://zotero.org/users/9445126/items/W7FYDW2Q"],"itemData":{"id":647,"type":"post","language":"en","title":"The KPMG Survey of Corporate Responsibility Reporting 2017","URL":"https://assets.kpmg/content/dam/kpmg/xx/pdf/2017/10/kpmg-survey-of-corporate-responsibility-reporting-2017.pdf","author":[{"family":"KPMG","given":""}],"issued":{"date-parts":[["2017"]]}},"label":"page","suppress-author":true}],"schema":"https://github.com/citation-style-language/schema/raw/master/csl-citation.json"} </w:instrText>
      </w:r>
      <w:r w:rsidR="008C25BA" w:rsidRPr="007E723C">
        <w:rPr>
          <w:rFonts w:ascii="Georgia" w:hAnsi="Georgia" w:cs="Times New Roman"/>
          <w:sz w:val="24"/>
          <w:szCs w:val="24"/>
        </w:rPr>
        <w:fldChar w:fldCharType="separate"/>
      </w:r>
      <w:r w:rsidR="008C25BA" w:rsidRPr="007E723C">
        <w:rPr>
          <w:rFonts w:ascii="Georgia" w:hAnsi="Georgia" w:cs="Times New Roman"/>
          <w:sz w:val="24"/>
          <w:szCs w:val="24"/>
        </w:rPr>
        <w:t>(2017)</w:t>
      </w:r>
      <w:r w:rsidR="008C25BA" w:rsidRPr="007E723C">
        <w:rPr>
          <w:rFonts w:ascii="Georgia" w:hAnsi="Georgia" w:cs="Times New Roman"/>
          <w:sz w:val="24"/>
          <w:szCs w:val="24"/>
        </w:rPr>
        <w:fldChar w:fldCharType="end"/>
      </w:r>
      <w:r w:rsidR="008C25BA" w:rsidRPr="007E723C">
        <w:rPr>
          <w:rFonts w:ascii="Georgia" w:hAnsi="Georgia" w:cs="Times New Roman"/>
          <w:sz w:val="24"/>
          <w:szCs w:val="24"/>
        </w:rPr>
        <w:t xml:space="preserve"> kutatása</w:t>
      </w:r>
      <w:r w:rsidR="00F8696B" w:rsidRPr="007E723C">
        <w:rPr>
          <w:rFonts w:ascii="Georgia" w:hAnsi="Georgia" w:cs="Times New Roman"/>
          <w:sz w:val="24"/>
          <w:szCs w:val="24"/>
        </w:rPr>
        <w:t xml:space="preserve"> is alátámaszt, mely</w:t>
      </w:r>
      <w:r w:rsidR="008C25BA" w:rsidRPr="007E723C">
        <w:rPr>
          <w:rFonts w:ascii="Georgia" w:hAnsi="Georgia" w:cs="Times New Roman"/>
          <w:sz w:val="24"/>
          <w:szCs w:val="24"/>
        </w:rPr>
        <w:t xml:space="preserve"> szerint a</w:t>
      </w:r>
      <w:r w:rsidR="002E6D87" w:rsidRPr="007E723C">
        <w:rPr>
          <w:rFonts w:ascii="Georgia" w:hAnsi="Georgia" w:cs="Times New Roman"/>
          <w:sz w:val="24"/>
          <w:szCs w:val="24"/>
        </w:rPr>
        <w:t>z általuk</w:t>
      </w:r>
      <w:r w:rsidR="008C25BA" w:rsidRPr="007E723C">
        <w:rPr>
          <w:rFonts w:ascii="Georgia" w:hAnsi="Georgia" w:cs="Times New Roman"/>
          <w:sz w:val="24"/>
          <w:szCs w:val="24"/>
        </w:rPr>
        <w:t xml:space="preserve"> vizsgált fenntarthatósági jelentések kétharmada a GRI ajánlásai szerint </w:t>
      </w:r>
      <w:r w:rsidR="008C25BA" w:rsidRPr="007E723C">
        <w:rPr>
          <w:rFonts w:ascii="Georgia" w:hAnsi="Georgia" w:cs="Times New Roman"/>
          <w:sz w:val="24"/>
          <w:szCs w:val="24"/>
        </w:rPr>
        <w:lastRenderedPageBreak/>
        <w:t>készült. Ezeket a</w:t>
      </w:r>
      <w:r w:rsidR="00F8696B" w:rsidRPr="007E723C">
        <w:rPr>
          <w:rFonts w:ascii="Georgia" w:hAnsi="Georgia" w:cs="Times New Roman"/>
          <w:sz w:val="24"/>
          <w:szCs w:val="24"/>
        </w:rPr>
        <w:t>z</w:t>
      </w:r>
      <w:r w:rsidR="008C25BA" w:rsidRPr="007E723C">
        <w:rPr>
          <w:rFonts w:ascii="Georgia" w:hAnsi="Georgia" w:cs="Times New Roman"/>
          <w:sz w:val="24"/>
          <w:szCs w:val="24"/>
        </w:rPr>
        <w:t xml:space="preserve"> </w:t>
      </w:r>
      <w:r w:rsidR="00F8696B" w:rsidRPr="007E723C">
        <w:rPr>
          <w:rFonts w:ascii="Georgia" w:hAnsi="Georgia" w:cs="Times New Roman"/>
          <w:sz w:val="24"/>
          <w:szCs w:val="24"/>
        </w:rPr>
        <w:t>irányelveket</w:t>
      </w:r>
      <w:r w:rsidR="008C25BA" w:rsidRPr="007E723C">
        <w:rPr>
          <w:rFonts w:ascii="Georgia" w:hAnsi="Georgia" w:cs="Times New Roman"/>
          <w:sz w:val="24"/>
          <w:szCs w:val="24"/>
        </w:rPr>
        <w:t xml:space="preserve"> úgy alakították ki, hogy alkalmazásukkal minden érintett számára megfelelő információ álljon rendelkezésre a vállalatok fenntarthatósági teljesítményéről. </w:t>
      </w:r>
      <w:r w:rsidR="00F8696B" w:rsidRPr="007E723C">
        <w:rPr>
          <w:rFonts w:ascii="Georgia" w:hAnsi="Georgia" w:cs="Times New Roman"/>
          <w:sz w:val="24"/>
          <w:szCs w:val="24"/>
        </w:rPr>
        <w:t>A GRI irányelvei szerint egy tipikus jelentésnek a következő területekkel kell foglalkoznia: jövőkép és stratégia; vállalati profil; irányítási struktúra és irányítási rendszerek; GRI tartalom index; teljesítménykritériumok (gazdasági, társadalmi és környezeti)</w:t>
      </w:r>
      <w:r w:rsidR="008C25BA" w:rsidRPr="007E723C">
        <w:rPr>
          <w:rFonts w:ascii="Georgia" w:hAnsi="Georgia" w:cs="Times New Roman"/>
          <w:sz w:val="24"/>
          <w:szCs w:val="24"/>
        </w:rPr>
        <w:t>.</w:t>
      </w:r>
      <w:r w:rsidR="00F8696B" w:rsidRPr="007E723C">
        <w:rPr>
          <w:rFonts w:ascii="Georgia" w:hAnsi="Georgia" w:cs="Times New Roman"/>
          <w:sz w:val="24"/>
          <w:szCs w:val="24"/>
        </w:rPr>
        <w:t xml:space="preserve"> </w:t>
      </w:r>
      <w:r w:rsidR="00C92587" w:rsidRPr="007E723C">
        <w:rPr>
          <w:rFonts w:ascii="Georgia" w:hAnsi="Georgia" w:cs="Times New Roman"/>
          <w:sz w:val="24"/>
          <w:szCs w:val="24"/>
        </w:rPr>
        <w:t>A legújabb GRI irányelv (G4) pedig azt is biztosítja, hogy ne csak a környezeti, társadalmi és gazdasági hatásokról szóljon a jelentés, hanem bemutatásra kerüljön az is, hogy az adott vállalat hogyan járul hozzá a fenntartható fejlődéshez</w:t>
      </w:r>
      <w:r w:rsidR="003B48F7" w:rsidRPr="007E723C">
        <w:rPr>
          <w:rFonts w:ascii="Georgia" w:hAnsi="Georgia" w:cs="Times New Roman"/>
          <w:sz w:val="24"/>
          <w:szCs w:val="24"/>
        </w:rPr>
        <w:t xml:space="preserve"> </w:t>
      </w:r>
      <w:r w:rsidR="003B48F7" w:rsidRPr="007E723C">
        <w:rPr>
          <w:rFonts w:ascii="Georgia" w:hAnsi="Georgia" w:cs="Times New Roman"/>
          <w:sz w:val="24"/>
          <w:szCs w:val="24"/>
        </w:rPr>
        <w:fldChar w:fldCharType="begin"/>
      </w:r>
      <w:r w:rsidR="003B48F7" w:rsidRPr="007E723C">
        <w:rPr>
          <w:rFonts w:ascii="Georgia" w:hAnsi="Georgia" w:cs="Times New Roman"/>
          <w:sz w:val="24"/>
          <w:szCs w:val="24"/>
        </w:rPr>
        <w:instrText xml:space="preserve"> ADDIN ZOTERO_ITEM CSL_CITATION {"citationID":"UkOe371H","properties":{"formattedCitation":"(GRI, 2021)","plainCitation":"(GRI, 2021)","noteIndex":0},"citationItems":[{"id":704,"uris":["http://zotero.org/users/9445126/items/ZBWNA836"],"itemData":{"id":704,"type":"document","publisher":"Global Reporting Initiative","title":"Sustainability Reporting Standards","author":[{"family":"GRI","given":""}],"issued":{"date-parts":[["2021"]]}}}],"schema":"https://github.com/citation-style-language/schema/raw/master/csl-citation.json"} </w:instrText>
      </w:r>
      <w:r w:rsidR="003B48F7" w:rsidRPr="007E723C">
        <w:rPr>
          <w:rFonts w:ascii="Georgia" w:hAnsi="Georgia" w:cs="Times New Roman"/>
          <w:sz w:val="24"/>
          <w:szCs w:val="24"/>
        </w:rPr>
        <w:fldChar w:fldCharType="separate"/>
      </w:r>
      <w:r w:rsidR="003B48F7" w:rsidRPr="007E723C">
        <w:rPr>
          <w:rFonts w:ascii="Georgia" w:hAnsi="Georgia" w:cs="Times New Roman"/>
          <w:sz w:val="24"/>
          <w:szCs w:val="24"/>
        </w:rPr>
        <w:t>(GRI, 2021)</w:t>
      </w:r>
      <w:r w:rsidR="003B48F7" w:rsidRPr="007E723C">
        <w:rPr>
          <w:rFonts w:ascii="Georgia" w:hAnsi="Georgia" w:cs="Times New Roman"/>
          <w:sz w:val="24"/>
          <w:szCs w:val="24"/>
        </w:rPr>
        <w:fldChar w:fldCharType="end"/>
      </w:r>
      <w:r w:rsidR="00C92587" w:rsidRPr="007E723C">
        <w:rPr>
          <w:rFonts w:ascii="Georgia" w:hAnsi="Georgia" w:cs="Times New Roman"/>
          <w:sz w:val="24"/>
          <w:szCs w:val="24"/>
        </w:rPr>
        <w:t>.</w:t>
      </w:r>
    </w:p>
    <w:p w14:paraId="6D3F7B80" w14:textId="77777777" w:rsidR="008C25BA" w:rsidRPr="007E723C" w:rsidRDefault="008C25BA" w:rsidP="008C25BA">
      <w:pPr>
        <w:spacing w:after="0" w:line="360" w:lineRule="auto"/>
        <w:jc w:val="both"/>
        <w:rPr>
          <w:rFonts w:ascii="Georgia" w:hAnsi="Georgia" w:cs="Times New Roman"/>
          <w:i/>
          <w:iCs/>
          <w:sz w:val="24"/>
          <w:szCs w:val="24"/>
        </w:rPr>
      </w:pPr>
      <w:r w:rsidRPr="007E723C">
        <w:rPr>
          <w:rFonts w:ascii="Georgia" w:hAnsi="Georgia" w:cs="Times New Roman"/>
          <w:i/>
          <w:iCs/>
          <w:sz w:val="24"/>
          <w:szCs w:val="24"/>
        </w:rPr>
        <w:tab/>
        <w:t>ISO26000</w:t>
      </w:r>
    </w:p>
    <w:p w14:paraId="3771C6DA" w14:textId="1B332F02" w:rsidR="008C25BA" w:rsidRPr="007E723C" w:rsidRDefault="008C25BA" w:rsidP="008C25BA">
      <w:pPr>
        <w:spacing w:line="360" w:lineRule="auto"/>
        <w:jc w:val="both"/>
        <w:rPr>
          <w:rFonts w:ascii="Georgia" w:hAnsi="Georgia" w:cs="Times New Roman"/>
          <w:sz w:val="24"/>
          <w:szCs w:val="24"/>
        </w:rPr>
      </w:pPr>
      <w:r w:rsidRPr="007E723C">
        <w:rPr>
          <w:rFonts w:ascii="Georgia" w:hAnsi="Georgia" w:cs="Times New Roman"/>
          <w:sz w:val="24"/>
          <w:szCs w:val="24"/>
        </w:rPr>
        <w:t>Az ISO szervezet múltja régebbre nyúlik vissza, mint a GRI-nek, ez idő alatt pedig számos nemzetközi standardot adtak ki, melyek hozzájárulnak ahhoz, hogy a vállalatok fel tudják mérni működésük gazdasági, társadalmi és környezeti hatásait.</w:t>
      </w:r>
      <w:r w:rsidR="00C92587" w:rsidRPr="007E723C">
        <w:rPr>
          <w:rFonts w:ascii="Georgia" w:hAnsi="Georgia" w:cs="Times New Roman"/>
          <w:sz w:val="24"/>
          <w:szCs w:val="24"/>
        </w:rPr>
        <w:t xml:space="preserve"> A 2010-ben elindított ISO 26000 az ISO egyik szabványa, melynek célja, hogy általános útmutatást adjon a társadalmi felelősségvállalásról minden méretű és minden iparágban működő vállalat számára, beleértve a </w:t>
      </w:r>
      <w:r w:rsidR="00512A16" w:rsidRPr="007E723C">
        <w:rPr>
          <w:rFonts w:ascii="Georgia" w:hAnsi="Georgia" w:cs="Times New Roman"/>
          <w:sz w:val="24"/>
          <w:szCs w:val="24"/>
        </w:rPr>
        <w:t>nonprofit</w:t>
      </w:r>
      <w:r w:rsidR="00C92587" w:rsidRPr="007E723C">
        <w:rPr>
          <w:rFonts w:ascii="Georgia" w:hAnsi="Georgia" w:cs="Times New Roman"/>
          <w:sz w:val="24"/>
          <w:szCs w:val="24"/>
        </w:rPr>
        <w:t xml:space="preserve"> szektorban működő szervezeteket is</w:t>
      </w:r>
      <w:r w:rsidRPr="007E723C">
        <w:rPr>
          <w:rFonts w:ascii="Georgia" w:hAnsi="Georgia" w:cs="Times New Roman"/>
          <w:sz w:val="24"/>
          <w:szCs w:val="24"/>
        </w:rPr>
        <w:t xml:space="preserve">. Az ISO és a GRI standardok </w:t>
      </w:r>
      <w:r w:rsidR="00C92587" w:rsidRPr="007E723C">
        <w:rPr>
          <w:rFonts w:ascii="Georgia" w:hAnsi="Georgia" w:cs="Times New Roman"/>
          <w:sz w:val="24"/>
          <w:szCs w:val="24"/>
        </w:rPr>
        <w:t xml:space="preserve">valamelyest </w:t>
      </w:r>
      <w:r w:rsidRPr="007E723C">
        <w:rPr>
          <w:rFonts w:ascii="Georgia" w:hAnsi="Georgia" w:cs="Times New Roman"/>
          <w:sz w:val="24"/>
          <w:szCs w:val="24"/>
        </w:rPr>
        <w:t xml:space="preserve">összefüggenek egymással, hiszen az ISO26000 segít abban, hogy hogyan legyen egy vállalat társadalmilag felelős, míg a GRI G4-es standardja megmutatja, hogy hogyan kell ezt közzétenni </w:t>
      </w:r>
      <w:r w:rsidRPr="007E723C">
        <w:rPr>
          <w:rFonts w:ascii="Georgia" w:hAnsi="Georgia" w:cs="Times New Roman"/>
          <w:sz w:val="24"/>
          <w:szCs w:val="24"/>
        </w:rPr>
        <w:fldChar w:fldCharType="begin"/>
      </w:r>
      <w:r w:rsidR="003B48F7" w:rsidRPr="007E723C">
        <w:rPr>
          <w:rFonts w:ascii="Georgia" w:hAnsi="Georgia" w:cs="Times New Roman"/>
          <w:sz w:val="24"/>
          <w:szCs w:val="24"/>
        </w:rPr>
        <w:instrText xml:space="preserve"> ADDIN ZOTERO_ITEM CSL_CITATION {"citationID":"tWTtZcKx","properties":{"formattedCitation":"(Idowu \\uc0\\u233{}s mtsai., 2016; ISO, 2010)","plainCitation":"(Idowu és mtsai., 2016; ISO, 2010)","noteIndex":0},"citationItems":[{"id":654,"uris":["http://zotero.org/users/9445126/items/PT7IA7KC"],"itemData":{"id":654,"type":"article-journal","abstract":"The current paper aims to emphasize the presence of Corporate Social Responsibility (CSR) and Sustainability elements in the Integrated Reporting framework, focusing on the most relevant set of voluntary reporting initiatives in the CSR/ Sustainability/ IR sphere. Based on the theoretical background of the IR Framework, ISO 26000 and GRI G4, a comparison analysis has been developed that helped identifying whether IR is a new step in corporate reporting and could contribute to a common ground for the non-financial reporting frameworks and guidelines. The comparison analysis reveals that most of the terms and definitions, elements, and principles from ISO 26000 and GRI G4 are found in the IR Framework, but in a much broader sense and providing a deeper understanding regarding what companies should report and how the disclosed information should be organized in the annual corporate report.","container-title":"International Journal of Social Entrepreneurship and Innovation","DOI":"10.1504/IJSEI.2016.076687","journalAbbreviation":"International Journal of Social Entrepreneurship and Innovation","source":"ResearchGate","title":"From CSR and Sustainability to Integrated Reporting","volume":"in press","author":[{"family":"Idowu","given":"Samuel"},{"family":"Dragu","given":"Ioana-Maria"},{"family":"Tiron Tudor","given":"Adriana"},{"family":"Farcas","given":"Teodora"}],"issued":{"date-parts":[["2016",3,1]]}}},{"id":750,"uris":["http://zotero.org/users/9445126/items/2FUDB72A"],"itemData":{"id":750,"type":"document","title":"ISO 26000:2010 Guidance on social responsibility","author":[{"family":"ISO","given":""}],"issued":{"date-parts":[["2010"]]}}}],"schema":"https://github.com/citation-style-language/schema/raw/master/csl-citation.json"} </w:instrText>
      </w:r>
      <w:r w:rsidRPr="007E723C">
        <w:rPr>
          <w:rFonts w:ascii="Georgia" w:hAnsi="Georgia" w:cs="Times New Roman"/>
          <w:sz w:val="24"/>
          <w:szCs w:val="24"/>
        </w:rPr>
        <w:fldChar w:fldCharType="separate"/>
      </w:r>
      <w:r w:rsidR="003B48F7" w:rsidRPr="007E723C">
        <w:rPr>
          <w:rFonts w:ascii="Georgia" w:hAnsi="Georgia" w:cs="Times New Roman"/>
          <w:sz w:val="24"/>
          <w:szCs w:val="24"/>
        </w:rPr>
        <w:t>(Idowu és mtsai., 2016; ISO, 2010)</w:t>
      </w:r>
      <w:r w:rsidRPr="007E723C">
        <w:rPr>
          <w:rFonts w:ascii="Georgia" w:hAnsi="Georgia" w:cs="Times New Roman"/>
          <w:sz w:val="24"/>
          <w:szCs w:val="24"/>
        </w:rPr>
        <w:fldChar w:fldCharType="end"/>
      </w:r>
      <w:r w:rsidRPr="007E723C">
        <w:rPr>
          <w:rFonts w:ascii="Georgia" w:hAnsi="Georgia" w:cs="Times New Roman"/>
          <w:sz w:val="24"/>
          <w:szCs w:val="24"/>
        </w:rPr>
        <w:t>.</w:t>
      </w:r>
    </w:p>
    <w:p w14:paraId="22E65BA9" w14:textId="77777777" w:rsidR="008C25BA" w:rsidRPr="007E723C" w:rsidRDefault="008C25BA" w:rsidP="008C25BA">
      <w:pPr>
        <w:spacing w:after="0" w:line="360" w:lineRule="auto"/>
        <w:jc w:val="both"/>
        <w:rPr>
          <w:rFonts w:ascii="Georgia" w:hAnsi="Georgia" w:cs="Times New Roman"/>
          <w:i/>
          <w:iCs/>
          <w:sz w:val="24"/>
          <w:szCs w:val="24"/>
        </w:rPr>
      </w:pPr>
      <w:r w:rsidRPr="007E723C">
        <w:rPr>
          <w:rFonts w:ascii="Georgia" w:hAnsi="Georgia" w:cs="Times New Roman"/>
          <w:i/>
          <w:iCs/>
          <w:sz w:val="24"/>
          <w:szCs w:val="24"/>
        </w:rPr>
        <w:tab/>
        <w:t>IR – Integrated Reporting</w:t>
      </w:r>
    </w:p>
    <w:p w14:paraId="7A571A4A" w14:textId="653EF2D6" w:rsidR="008C25BA" w:rsidRPr="007E723C" w:rsidRDefault="008C25BA" w:rsidP="001F1236">
      <w:pPr>
        <w:spacing w:line="360" w:lineRule="auto"/>
        <w:jc w:val="both"/>
        <w:rPr>
          <w:rFonts w:ascii="Georgia" w:hAnsi="Georgia" w:cs="Times New Roman"/>
          <w:sz w:val="24"/>
          <w:szCs w:val="24"/>
        </w:rPr>
      </w:pPr>
      <w:r w:rsidRPr="007E723C">
        <w:rPr>
          <w:rFonts w:ascii="Georgia" w:hAnsi="Georgia" w:cs="Times New Roman"/>
          <w:sz w:val="24"/>
          <w:szCs w:val="24"/>
        </w:rPr>
        <w:t>Az International Integrated Reporting Council (IIRC) alkotta meg az integrált jelentést abból a célból, hogy ezáltal a fenntartható fejlődés irányába terelje a vállalatokat</w:t>
      </w:r>
      <w:r w:rsidR="001F1236" w:rsidRPr="007E723C">
        <w:rPr>
          <w:rFonts w:ascii="Georgia" w:hAnsi="Georgia" w:cs="Times New Roman"/>
          <w:sz w:val="24"/>
          <w:szCs w:val="24"/>
        </w:rPr>
        <w:t xml:space="preserve"> és jobb kommunikációt tegyen lehetővé a vállalat és a külső környezet kapcsolatáról</w:t>
      </w:r>
      <w:r w:rsidRPr="007E723C">
        <w:rPr>
          <w:rFonts w:ascii="Georgia" w:hAnsi="Georgia" w:cs="Times New Roman"/>
          <w:sz w:val="24"/>
          <w:szCs w:val="24"/>
        </w:rPr>
        <w:t>.</w:t>
      </w:r>
      <w:r w:rsidR="001F1236" w:rsidRPr="007E723C">
        <w:rPr>
          <w:rFonts w:ascii="Georgia" w:hAnsi="Georgia" w:cs="Times New Roman"/>
          <w:sz w:val="24"/>
          <w:szCs w:val="24"/>
        </w:rPr>
        <w:t xml:space="preserve"> Az IR középpontjában az az elképzelés áll, hogy a vállalatoknak ki kell terjeszteniük jelentéseiket, hogy azok magukban foglalják mindazokat az erőforrásokat, amelyeket a vállalatok az üzleti tevékenységeikhez inputként felhasználnak.</w:t>
      </w:r>
      <w:r w:rsidRPr="007E723C">
        <w:rPr>
          <w:rFonts w:ascii="Georgia" w:hAnsi="Georgia" w:cs="Times New Roman"/>
          <w:sz w:val="24"/>
          <w:szCs w:val="24"/>
        </w:rPr>
        <w:t xml:space="preserve"> A GRI-vel együttműködve pedig arra törekszenek, hogy a különböző vállalatok fenntarthatósági jelentései minél egységesebbek és könnyebben összevethetőek legyenek</w:t>
      </w:r>
      <w:r w:rsidR="003B48F7" w:rsidRPr="007E723C">
        <w:rPr>
          <w:rFonts w:ascii="Georgia" w:hAnsi="Georgia" w:cs="Times New Roman"/>
          <w:sz w:val="24"/>
          <w:szCs w:val="24"/>
        </w:rPr>
        <w:t xml:space="preserve"> </w:t>
      </w:r>
      <w:r w:rsidR="003B48F7" w:rsidRPr="007E723C">
        <w:rPr>
          <w:rFonts w:ascii="Georgia" w:hAnsi="Georgia" w:cs="Times New Roman"/>
          <w:sz w:val="24"/>
          <w:szCs w:val="24"/>
        </w:rPr>
        <w:fldChar w:fldCharType="begin"/>
      </w:r>
      <w:r w:rsidR="00B33DE5" w:rsidRPr="007E723C">
        <w:rPr>
          <w:rFonts w:ascii="Georgia" w:hAnsi="Georgia" w:cs="Times New Roman"/>
          <w:sz w:val="24"/>
          <w:szCs w:val="24"/>
        </w:rPr>
        <w:instrText xml:space="preserve"> ADDIN ZOTERO_ITEM CSL_CITATION {"citationID":"yIw9AONc","properties":{"formattedCitation":"(IIRC, 2021)","plainCitation":"(IIRC, 2021)","noteIndex":0},"citationItems":[{"id":787,"uris":["http://zotero.org/users/9445126/items/KEWS8LEM"],"itemData":{"id":787,"type":"document","title":"Integrated Reporting Framework","URL":"https://www.integratedreporting.org/resource/international-ir-framework/","author":[{"family":"IIRC","given":""}],"issued":{"date-parts":[["2021"]]}}}],"schema":"https://github.com/citation-style-language/schema/raw/master/csl-citation.json"} </w:instrText>
      </w:r>
      <w:r w:rsidR="003B48F7" w:rsidRPr="007E723C">
        <w:rPr>
          <w:rFonts w:ascii="Georgia" w:hAnsi="Georgia" w:cs="Times New Roman"/>
          <w:sz w:val="24"/>
          <w:szCs w:val="24"/>
        </w:rPr>
        <w:fldChar w:fldCharType="separate"/>
      </w:r>
      <w:r w:rsidR="00B33DE5" w:rsidRPr="007E723C">
        <w:rPr>
          <w:rFonts w:ascii="Georgia" w:hAnsi="Georgia" w:cs="Times New Roman"/>
          <w:sz w:val="24"/>
          <w:szCs w:val="24"/>
        </w:rPr>
        <w:t>(IIRC, 2021)</w:t>
      </w:r>
      <w:r w:rsidR="003B48F7"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7A98760D" w14:textId="77777777" w:rsidR="008C25BA" w:rsidRPr="007E723C" w:rsidRDefault="008C25BA" w:rsidP="008C25BA">
      <w:pPr>
        <w:spacing w:after="0" w:line="360" w:lineRule="auto"/>
        <w:jc w:val="both"/>
        <w:rPr>
          <w:rFonts w:ascii="Georgia" w:hAnsi="Georgia" w:cs="Times New Roman"/>
          <w:i/>
          <w:iCs/>
          <w:sz w:val="24"/>
          <w:szCs w:val="24"/>
        </w:rPr>
      </w:pPr>
      <w:r w:rsidRPr="007E723C">
        <w:rPr>
          <w:rFonts w:ascii="Georgia" w:hAnsi="Georgia" w:cs="Times New Roman"/>
          <w:i/>
          <w:iCs/>
          <w:sz w:val="24"/>
          <w:szCs w:val="24"/>
        </w:rPr>
        <w:tab/>
        <w:t>SASB – Sustainability Accounting Standard Board</w:t>
      </w:r>
    </w:p>
    <w:p w14:paraId="45F5C396" w14:textId="01930D47" w:rsidR="008C25BA" w:rsidRPr="007E723C" w:rsidRDefault="008C25BA" w:rsidP="008C25BA">
      <w:pPr>
        <w:spacing w:line="360" w:lineRule="auto"/>
        <w:jc w:val="both"/>
        <w:rPr>
          <w:rFonts w:ascii="Georgia" w:hAnsi="Georgia" w:cs="Times New Roman"/>
          <w:sz w:val="24"/>
          <w:szCs w:val="24"/>
        </w:rPr>
      </w:pPr>
      <w:r w:rsidRPr="007E723C">
        <w:rPr>
          <w:rFonts w:ascii="Georgia" w:hAnsi="Georgia" w:cs="Times New Roman"/>
          <w:sz w:val="24"/>
          <w:szCs w:val="24"/>
        </w:rPr>
        <w:t xml:space="preserve">Az SASB leginkább az USA-ban elterjedt nem pénzügyi beszámolási keretrendszer, melynek fő célja, hogy iparágspecifikus jelentéstételi standardokat </w:t>
      </w:r>
      <w:r w:rsidRPr="007E723C">
        <w:rPr>
          <w:rFonts w:ascii="Georgia" w:hAnsi="Georgia" w:cs="Times New Roman"/>
          <w:sz w:val="24"/>
          <w:szCs w:val="24"/>
        </w:rPr>
        <w:lastRenderedPageBreak/>
        <w:t>adjanak ki megkönnyítve ezáltal a vállalatok és a befektetők munkáját. A vállalatok működésének környezeti, társadalmi és gazdasági hatásai ugyanis számos olyan információt hordoznak magukban, amely a befektetők megalapozott döntéshozatalát segítik. Így az SASB küldetése, hogy globálisan is összehasonlítható</w:t>
      </w:r>
      <w:r w:rsidR="00421D8A" w:rsidRPr="007E723C">
        <w:rPr>
          <w:rFonts w:ascii="Georgia" w:hAnsi="Georgia" w:cs="Times New Roman"/>
          <w:sz w:val="24"/>
          <w:szCs w:val="24"/>
        </w:rPr>
        <w:t xml:space="preserve">, </w:t>
      </w:r>
      <w:r w:rsidRPr="007E723C">
        <w:rPr>
          <w:rFonts w:ascii="Georgia" w:hAnsi="Georgia" w:cs="Times New Roman"/>
          <w:sz w:val="24"/>
          <w:szCs w:val="24"/>
        </w:rPr>
        <w:t>megbízható információk kerüljenek közzétételre a vállalatok nem pénzügyi jelentéseiben</w:t>
      </w:r>
      <w:r w:rsidR="00B33DE5" w:rsidRPr="007E723C">
        <w:rPr>
          <w:rFonts w:ascii="Georgia" w:hAnsi="Georgia" w:cs="Times New Roman"/>
          <w:sz w:val="24"/>
          <w:szCs w:val="24"/>
        </w:rPr>
        <w:t xml:space="preserve"> </w:t>
      </w:r>
      <w:r w:rsidR="00B33DE5" w:rsidRPr="007E723C">
        <w:rPr>
          <w:rFonts w:ascii="Georgia" w:hAnsi="Georgia" w:cs="Times New Roman"/>
          <w:sz w:val="24"/>
          <w:szCs w:val="24"/>
        </w:rPr>
        <w:fldChar w:fldCharType="begin"/>
      </w:r>
      <w:r w:rsidR="00B33DE5" w:rsidRPr="007E723C">
        <w:rPr>
          <w:rFonts w:ascii="Georgia" w:hAnsi="Georgia" w:cs="Times New Roman"/>
          <w:sz w:val="24"/>
          <w:szCs w:val="24"/>
        </w:rPr>
        <w:instrText xml:space="preserve"> ADDIN ZOTERO_ITEM CSL_CITATION {"citationID":"SaEEEA0n","properties":{"formattedCitation":"(ISSB, 2022)","plainCitation":"(ISSB, 2022)","noteIndex":0},"citationItems":[{"id":788,"uris":["http://zotero.org/users/9445126/items/CK6RHIKA"],"itemData":{"id":788,"type":"document","title":"SASB Standards","URL":"https://www.sasb.org/standards/download/?lang=en-us","author":[{"family":"ISSB","given":""}],"issued":{"date-parts":[["2022"]]}}}],"schema":"https://github.com/citation-style-language/schema/raw/master/csl-citation.json"} </w:instrText>
      </w:r>
      <w:r w:rsidR="00B33DE5" w:rsidRPr="007E723C">
        <w:rPr>
          <w:rFonts w:ascii="Georgia" w:hAnsi="Georgia" w:cs="Times New Roman"/>
          <w:sz w:val="24"/>
          <w:szCs w:val="24"/>
        </w:rPr>
        <w:fldChar w:fldCharType="separate"/>
      </w:r>
      <w:r w:rsidR="00B33DE5" w:rsidRPr="007E723C">
        <w:rPr>
          <w:rFonts w:ascii="Georgia" w:hAnsi="Georgia" w:cs="Times New Roman"/>
          <w:sz w:val="24"/>
          <w:szCs w:val="24"/>
        </w:rPr>
        <w:t>(ISSB, 2022)</w:t>
      </w:r>
      <w:r w:rsidR="00B33DE5" w:rsidRPr="007E723C">
        <w:rPr>
          <w:rFonts w:ascii="Georgia" w:hAnsi="Georgia" w:cs="Times New Roman"/>
          <w:sz w:val="24"/>
          <w:szCs w:val="24"/>
        </w:rPr>
        <w:fldChar w:fldCharType="end"/>
      </w:r>
      <w:r w:rsidRPr="007E723C">
        <w:rPr>
          <w:rFonts w:ascii="Georgia" w:hAnsi="Georgia" w:cs="Times New Roman"/>
          <w:sz w:val="24"/>
          <w:szCs w:val="24"/>
        </w:rPr>
        <w:t>.</w:t>
      </w:r>
    </w:p>
    <w:p w14:paraId="005D3CDE" w14:textId="77777777" w:rsidR="008C25BA" w:rsidRPr="007E723C" w:rsidRDefault="008C25BA" w:rsidP="008C25BA">
      <w:pPr>
        <w:spacing w:after="0" w:line="360" w:lineRule="auto"/>
        <w:jc w:val="both"/>
        <w:rPr>
          <w:rFonts w:ascii="Georgia" w:hAnsi="Georgia" w:cs="Times New Roman"/>
          <w:i/>
          <w:iCs/>
          <w:sz w:val="24"/>
          <w:szCs w:val="24"/>
        </w:rPr>
      </w:pPr>
      <w:r w:rsidRPr="007E723C">
        <w:rPr>
          <w:rFonts w:ascii="Georgia" w:hAnsi="Georgia" w:cs="Times New Roman"/>
          <w:i/>
          <w:iCs/>
          <w:sz w:val="24"/>
          <w:szCs w:val="24"/>
        </w:rPr>
        <w:tab/>
        <w:t>CDP – Carbon Disclosure Project</w:t>
      </w:r>
    </w:p>
    <w:p w14:paraId="13F4CF4B" w14:textId="5942F827" w:rsidR="008C25BA" w:rsidRPr="007E723C" w:rsidRDefault="008C25BA" w:rsidP="008C25BA">
      <w:pPr>
        <w:spacing w:line="360" w:lineRule="auto"/>
        <w:jc w:val="both"/>
        <w:rPr>
          <w:rFonts w:ascii="Georgia" w:hAnsi="Georgia" w:cs="Times New Roman"/>
          <w:sz w:val="24"/>
          <w:szCs w:val="24"/>
        </w:rPr>
      </w:pPr>
      <w:r w:rsidRPr="007E723C">
        <w:rPr>
          <w:rFonts w:ascii="Georgia" w:hAnsi="Georgia" w:cs="Times New Roman"/>
          <w:sz w:val="24"/>
          <w:szCs w:val="24"/>
        </w:rPr>
        <w:t>Az előzőleg bemutatott keretrendszerekkel ellentétben a CDP fókuszában csupán a környezeti hatásokról való információszolgáltatás áll. Célja, hogy egy olyan globális adatbázist hozzon lére, amely a környezeti aspektusok tekintetében kell</w:t>
      </w:r>
      <w:r w:rsidR="001F1236" w:rsidRPr="007E723C">
        <w:rPr>
          <w:rFonts w:ascii="Georgia" w:hAnsi="Georgia" w:cs="Times New Roman"/>
          <w:sz w:val="24"/>
          <w:szCs w:val="24"/>
        </w:rPr>
        <w:t>ő</w:t>
      </w:r>
      <w:r w:rsidRPr="007E723C">
        <w:rPr>
          <w:rFonts w:ascii="Georgia" w:hAnsi="Georgia" w:cs="Times New Roman"/>
          <w:sz w:val="24"/>
          <w:szCs w:val="24"/>
        </w:rPr>
        <w:t xml:space="preserve"> információval tudja ellátni az érintettek teljes körét. Ennek érdekében egy olyan rendszert működtetnek, ahol a vállalatok, városok, régiók és országok önkéntesen fel tudják mérni a környezetre gyakorolt hatásukat. Ezzel arra próbálják ösztönözni a befektetőket és a vállalatokat is, hogy tegyenek valamit azért, hogy a bolygó egy élhetőbb hely legyen. A CDP szerint ugyanis a klímaváltozással és környezetszennyezéssel kapcsolatos információk közzététele elősegítheti a környezeti károk és a szennyezés csökkenését. A szervezet</w:t>
      </w:r>
      <w:r w:rsidR="00421D8A" w:rsidRPr="007E723C">
        <w:rPr>
          <w:rFonts w:ascii="Georgia" w:hAnsi="Georgia" w:cs="Times New Roman"/>
          <w:sz w:val="24"/>
          <w:szCs w:val="24"/>
        </w:rPr>
        <w:t xml:space="preserve"> egyébként</w:t>
      </w:r>
      <w:r w:rsidRPr="007E723C">
        <w:rPr>
          <w:rFonts w:ascii="Georgia" w:hAnsi="Georgia" w:cs="Times New Roman"/>
          <w:sz w:val="24"/>
          <w:szCs w:val="24"/>
        </w:rPr>
        <w:t xml:space="preserve"> szoros együttműködésben áll a GRI-vel, az SASB-vel és az IIRC-vel is. </w:t>
      </w:r>
    </w:p>
    <w:p w14:paraId="31C11E08" w14:textId="77777777" w:rsidR="008C25BA" w:rsidRPr="007E723C" w:rsidRDefault="008C25BA" w:rsidP="008C25BA">
      <w:pPr>
        <w:spacing w:after="0" w:line="360" w:lineRule="auto"/>
        <w:jc w:val="both"/>
        <w:rPr>
          <w:rFonts w:ascii="Georgia" w:hAnsi="Georgia" w:cs="Times New Roman"/>
          <w:i/>
          <w:iCs/>
          <w:sz w:val="24"/>
          <w:szCs w:val="24"/>
        </w:rPr>
      </w:pPr>
      <w:r w:rsidRPr="007E723C">
        <w:rPr>
          <w:rFonts w:ascii="Georgia" w:hAnsi="Georgia" w:cs="Times New Roman"/>
          <w:i/>
          <w:iCs/>
          <w:sz w:val="24"/>
          <w:szCs w:val="24"/>
        </w:rPr>
        <w:tab/>
        <w:t>TCFD – Task Force on Climate-related Financial Disclosures</w:t>
      </w:r>
    </w:p>
    <w:p w14:paraId="58A9DA13" w14:textId="139EEB65" w:rsidR="008C25BA" w:rsidRPr="007E723C" w:rsidRDefault="008C25BA" w:rsidP="008C25BA">
      <w:pPr>
        <w:spacing w:line="360" w:lineRule="auto"/>
        <w:jc w:val="both"/>
        <w:rPr>
          <w:rFonts w:ascii="Georgia" w:hAnsi="Georgia" w:cs="Times New Roman"/>
          <w:sz w:val="24"/>
          <w:szCs w:val="24"/>
        </w:rPr>
      </w:pPr>
      <w:r w:rsidRPr="007E723C">
        <w:rPr>
          <w:rFonts w:ascii="Georgia" w:hAnsi="Georgia" w:cs="Times New Roman"/>
          <w:sz w:val="24"/>
          <w:szCs w:val="24"/>
        </w:rPr>
        <w:t>A TCFD fókuszában, hasonlóan a CDP-hez szintén a klímaváltozás és az abban rejlő pénzügyi kockázat</w:t>
      </w:r>
      <w:r w:rsidR="00005066" w:rsidRPr="007E723C">
        <w:rPr>
          <w:rFonts w:ascii="Georgia" w:hAnsi="Georgia" w:cs="Times New Roman"/>
          <w:sz w:val="24"/>
          <w:szCs w:val="24"/>
        </w:rPr>
        <w:t>ok</w:t>
      </w:r>
      <w:r w:rsidRPr="007E723C">
        <w:rPr>
          <w:rFonts w:ascii="Georgia" w:hAnsi="Georgia" w:cs="Times New Roman"/>
          <w:sz w:val="24"/>
          <w:szCs w:val="24"/>
        </w:rPr>
        <w:t xml:space="preserve"> áll</w:t>
      </w:r>
      <w:r w:rsidR="00005066" w:rsidRPr="007E723C">
        <w:rPr>
          <w:rFonts w:ascii="Georgia" w:hAnsi="Georgia" w:cs="Times New Roman"/>
          <w:sz w:val="24"/>
          <w:szCs w:val="24"/>
        </w:rPr>
        <w:t>nak</w:t>
      </w:r>
      <w:r w:rsidRPr="007E723C">
        <w:rPr>
          <w:rFonts w:ascii="Georgia" w:hAnsi="Georgia" w:cs="Times New Roman"/>
          <w:sz w:val="24"/>
          <w:szCs w:val="24"/>
        </w:rPr>
        <w:t xml:space="preserve">. </w:t>
      </w:r>
      <w:r w:rsidR="00005066" w:rsidRPr="007E723C">
        <w:rPr>
          <w:rFonts w:ascii="Georgia" w:hAnsi="Georgia" w:cs="Times New Roman"/>
          <w:sz w:val="24"/>
          <w:szCs w:val="24"/>
        </w:rPr>
        <w:t>Céljuk</w:t>
      </w:r>
      <w:r w:rsidRPr="007E723C">
        <w:rPr>
          <w:rFonts w:ascii="Georgia" w:hAnsi="Georgia" w:cs="Times New Roman"/>
          <w:sz w:val="24"/>
          <w:szCs w:val="24"/>
        </w:rPr>
        <w:t>, hogy információt szolgáltass</w:t>
      </w:r>
      <w:r w:rsidR="00005066" w:rsidRPr="007E723C">
        <w:rPr>
          <w:rFonts w:ascii="Georgia" w:hAnsi="Georgia" w:cs="Times New Roman"/>
          <w:sz w:val="24"/>
          <w:szCs w:val="24"/>
        </w:rPr>
        <w:t>a</w:t>
      </w:r>
      <w:r w:rsidRPr="007E723C">
        <w:rPr>
          <w:rFonts w:ascii="Georgia" w:hAnsi="Georgia" w:cs="Times New Roman"/>
          <w:sz w:val="24"/>
          <w:szCs w:val="24"/>
        </w:rPr>
        <w:t>n</w:t>
      </w:r>
      <w:r w:rsidR="00005066" w:rsidRPr="007E723C">
        <w:rPr>
          <w:rFonts w:ascii="Georgia" w:hAnsi="Georgia" w:cs="Times New Roman"/>
          <w:sz w:val="24"/>
          <w:szCs w:val="24"/>
        </w:rPr>
        <w:t>ak</w:t>
      </w:r>
      <w:r w:rsidRPr="007E723C">
        <w:rPr>
          <w:rFonts w:ascii="Georgia" w:hAnsi="Georgia" w:cs="Times New Roman"/>
          <w:sz w:val="24"/>
          <w:szCs w:val="24"/>
        </w:rPr>
        <w:t xml:space="preserve"> elsősorban a befektetők, a biztosítók és a hitelezők számára. A TCFD ajánlásai abban segítik a vállalatokat, hogy megértsék, hogyan lehet mérni az éghajlatváltozás okozta kockázatokat, illetve azok hatásait, elősegítve ezzel a könnyebb és gyorsabb reagálást. Emellett arra is ösztönzik a vállalkozásokat, hogy a fenntarthatósági jelentéseikben olyan információkat tegyenek közzé, melyek megfelelnek a befektetők és a többi érdekelt igényeinek</w:t>
      </w:r>
      <w:r w:rsidR="00B33DE5" w:rsidRPr="007E723C">
        <w:rPr>
          <w:rFonts w:ascii="Georgia" w:hAnsi="Georgia" w:cs="Times New Roman"/>
          <w:sz w:val="24"/>
          <w:szCs w:val="24"/>
        </w:rPr>
        <w:t xml:space="preserve"> </w:t>
      </w:r>
      <w:r w:rsidR="00B33DE5" w:rsidRPr="007E723C">
        <w:rPr>
          <w:rFonts w:ascii="Georgia" w:hAnsi="Georgia" w:cs="Times New Roman"/>
          <w:sz w:val="24"/>
          <w:szCs w:val="24"/>
        </w:rPr>
        <w:fldChar w:fldCharType="begin"/>
      </w:r>
      <w:r w:rsidR="00B33DE5" w:rsidRPr="007E723C">
        <w:rPr>
          <w:rFonts w:ascii="Georgia" w:hAnsi="Georgia" w:cs="Times New Roman"/>
          <w:sz w:val="24"/>
          <w:szCs w:val="24"/>
        </w:rPr>
        <w:instrText xml:space="preserve"> ADDIN ZOTERO_ITEM CSL_CITATION {"citationID":"8DNqCnzj","properties":{"formattedCitation":"(TCFD, 2022)","plainCitation":"(TCFD, 2022)","noteIndex":0},"citationItems":[{"id":789,"uris":["http://zotero.org/users/9445126/items/AHRX5J8J"],"itemData":{"id":789,"type":"document","title":"Publications","URL":"https://www.fsb-tcfd.org/publications/","author":[{"family":"TCFD","given":""}],"issued":{"date-parts":[["2022"]]}}}],"schema":"https://github.com/citation-style-language/schema/raw/master/csl-citation.json"} </w:instrText>
      </w:r>
      <w:r w:rsidR="00B33DE5" w:rsidRPr="007E723C">
        <w:rPr>
          <w:rFonts w:ascii="Georgia" w:hAnsi="Georgia" w:cs="Times New Roman"/>
          <w:sz w:val="24"/>
          <w:szCs w:val="24"/>
        </w:rPr>
        <w:fldChar w:fldCharType="separate"/>
      </w:r>
      <w:r w:rsidR="00B33DE5" w:rsidRPr="007E723C">
        <w:rPr>
          <w:rFonts w:ascii="Georgia" w:hAnsi="Georgia" w:cs="Times New Roman"/>
          <w:sz w:val="24"/>
          <w:szCs w:val="24"/>
        </w:rPr>
        <w:t>(TCFD, 2022)</w:t>
      </w:r>
      <w:r w:rsidR="00B33DE5" w:rsidRPr="007E723C">
        <w:rPr>
          <w:rFonts w:ascii="Georgia" w:hAnsi="Georgia" w:cs="Times New Roman"/>
          <w:sz w:val="24"/>
          <w:szCs w:val="24"/>
        </w:rPr>
        <w:fldChar w:fldCharType="end"/>
      </w:r>
      <w:r w:rsidRPr="007E723C">
        <w:rPr>
          <w:rFonts w:ascii="Georgia" w:hAnsi="Georgia" w:cs="Times New Roman"/>
          <w:sz w:val="24"/>
          <w:szCs w:val="24"/>
        </w:rPr>
        <w:t>.</w:t>
      </w:r>
    </w:p>
    <w:p w14:paraId="27916BC8" w14:textId="77777777" w:rsidR="000E7E55" w:rsidRPr="007E723C" w:rsidRDefault="000E7E55" w:rsidP="000E7E55">
      <w:pPr>
        <w:spacing w:line="360" w:lineRule="auto"/>
        <w:ind w:firstLine="652"/>
        <w:jc w:val="both"/>
        <w:rPr>
          <w:rFonts w:ascii="Georgia" w:hAnsi="Georgia" w:cs="Times New Roman"/>
          <w:sz w:val="24"/>
          <w:szCs w:val="24"/>
        </w:rPr>
      </w:pPr>
      <w:r w:rsidRPr="007E723C">
        <w:rPr>
          <w:rFonts w:ascii="Georgia" w:hAnsi="Georgia" w:cs="Times New Roman"/>
          <w:sz w:val="24"/>
          <w:szCs w:val="24"/>
        </w:rPr>
        <w:t xml:space="preserve">A fenti rövid ismertetőből is jól látszik, hogy a bemutatott standardok mindegyike a fenntarthatósággal kapcsolatos közzététellel foglalkozik, mégis észrevehető, hogy máshova helyezik a hangsúlyt. A CDP és a TCFD esetében, ahogy azt fentebb is kiemeltem, egyértelműen látszik, hogy más az információ felhasználóinak köre és inkább a környezetre tett hatásoknak, valamint a klímakockázatnak a felmérését hangsúlyozzák. A CDP nem csak a vállalatokra </w:t>
      </w:r>
      <w:r w:rsidRPr="007E723C">
        <w:rPr>
          <w:rFonts w:ascii="Georgia" w:hAnsi="Georgia" w:cs="Times New Roman"/>
          <w:sz w:val="24"/>
          <w:szCs w:val="24"/>
        </w:rPr>
        <w:lastRenderedPageBreak/>
        <w:t xml:space="preserve">fókuszál, hanem városokat, országokat is vizsgál, míg a TCFD az érintettek közül leginkább a befektetőket emeli ki. </w:t>
      </w:r>
    </w:p>
    <w:p w14:paraId="6E17ABF6" w14:textId="1568396F" w:rsidR="00C214F1" w:rsidRDefault="000E7E55" w:rsidP="000E7E55">
      <w:pPr>
        <w:spacing w:line="360" w:lineRule="auto"/>
        <w:ind w:firstLine="652"/>
        <w:jc w:val="both"/>
        <w:rPr>
          <w:rFonts w:ascii="Georgia" w:hAnsi="Georgia" w:cs="Times New Roman"/>
          <w:sz w:val="24"/>
          <w:szCs w:val="24"/>
        </w:rPr>
      </w:pPr>
      <w:r w:rsidRPr="007E723C">
        <w:rPr>
          <w:rFonts w:ascii="Georgia" w:hAnsi="Georgia" w:cs="Times New Roman"/>
          <w:sz w:val="24"/>
          <w:szCs w:val="24"/>
        </w:rPr>
        <w:t>Jól érzékelhető tehát, hogy bár a nem pénzügyi jelentéstételre vonatkozó szabályozások terén már tettek néhány lépést a standardizálás felé, de továbbra sem lehet kijelenti azt, hogy a szabályozói környezet nagyban megkönnyítené a vállalatok és a befektetők munkáját. A közzétételre vonatkozó alkalmazható iránymutatások sokfélesége pedig odáig vezethet, hogy az eltérő elvek mentén összeállított fenntarthatósági jelentések tartalma nehezen összehasonlítható, ezáltal pedig a vállalatok fenntarthatósági teljesítményének pontos megítélése is problémássá válhat a befektetők számára. Így összességében azt mondhatjuk, hogy a kellő szabályozások hiánya az egyike lehet azoknak a tényezőknek, amelyek egyre több piaci szereplő fenntarthatósági jelentésekbe vetett bizalmát megingatják. Ahhoz azonban, hogy a fenntarthatósági jelentések és ESG minősítések pontos tartalmát meg tudjuk érteni, elengedhetetlen, hogy feltárjuk azokat az indikátorokat és mérési eszközöket, melyek segítségével számszerűsíteni lehet a vállalatok ESG teljesítményét.</w:t>
      </w:r>
    </w:p>
    <w:p w14:paraId="05B9FA06" w14:textId="2C8CD37B" w:rsidR="000E7E55" w:rsidRDefault="008B6594" w:rsidP="000E7E55">
      <w:pPr>
        <w:spacing w:line="360" w:lineRule="auto"/>
        <w:ind w:firstLine="652"/>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87936" behindDoc="0" locked="0" layoutInCell="1" allowOverlap="1" wp14:anchorId="3FA4D22A" wp14:editId="7D424621">
            <wp:simplePos x="0" y="0"/>
            <wp:positionH relativeFrom="column">
              <wp:posOffset>88265</wp:posOffset>
            </wp:positionH>
            <wp:positionV relativeFrom="paragraph">
              <wp:posOffset>561975</wp:posOffset>
            </wp:positionV>
            <wp:extent cx="5244465" cy="2225040"/>
            <wp:effectExtent l="0" t="0" r="0" b="3810"/>
            <wp:wrapSquare wrapText="bothSides"/>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44465" cy="2225040"/>
                    </a:xfrm>
                    <a:prstGeom prst="rect">
                      <a:avLst/>
                    </a:prstGeom>
                  </pic:spPr>
                </pic:pic>
              </a:graphicData>
            </a:graphic>
            <wp14:sizeRelH relativeFrom="page">
              <wp14:pctWidth>0</wp14:pctWidth>
            </wp14:sizeRelH>
            <wp14:sizeRelV relativeFrom="page">
              <wp14:pctHeight>0</wp14:pctHeight>
            </wp14:sizeRelV>
          </wp:anchor>
        </w:drawing>
      </w:r>
      <w:r w:rsidR="000E7E55" w:rsidRPr="007E723C">
        <w:rPr>
          <w:rFonts w:ascii="Georgia" w:hAnsi="Georgia" w:cs="Times New Roman"/>
          <w:sz w:val="24"/>
          <w:szCs w:val="24"/>
        </w:rPr>
        <w:t>A könnyebb összehasonlíthatóság érdekében az 1. számú táblázat a fenn bemutatott standardok, keretrendszerek kiemelt jellemzőit foglalja össze.</w:t>
      </w:r>
    </w:p>
    <w:p w14:paraId="425054F2" w14:textId="77777777" w:rsidR="00845BEE" w:rsidRPr="00476666" w:rsidRDefault="00845BEE"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xml:space="preserve">: Nem pénzügyi beszámolásai standardok </w:t>
      </w:r>
    </w:p>
    <w:p w14:paraId="5241EA92" w14:textId="415A5A8B" w:rsidR="00D908EC" w:rsidRPr="00476666" w:rsidRDefault="00845BEE" w:rsidP="008B6594">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58EA0A71" w14:textId="3460C77D" w:rsidR="00AC2477" w:rsidRPr="007E723C" w:rsidRDefault="00AC2477" w:rsidP="00FF7AC9">
      <w:pPr>
        <w:pStyle w:val="Cmsor2"/>
        <w:numPr>
          <w:ilvl w:val="1"/>
          <w:numId w:val="3"/>
        </w:numPr>
        <w:spacing w:after="160"/>
        <w:ind w:left="1134" w:hanging="578"/>
        <w:rPr>
          <w:rFonts w:ascii="Georgia" w:hAnsi="Georgia" w:cs="Times New Roman"/>
          <w:b/>
          <w:bCs/>
          <w:color w:val="auto"/>
          <w:sz w:val="24"/>
          <w:szCs w:val="24"/>
        </w:rPr>
      </w:pPr>
      <w:bookmarkStart w:id="16" w:name="_Toc119421175"/>
      <w:r w:rsidRPr="007E723C">
        <w:rPr>
          <w:rFonts w:ascii="Georgia" w:hAnsi="Georgia" w:cs="Times New Roman"/>
          <w:b/>
          <w:bCs/>
          <w:color w:val="auto"/>
          <w:sz w:val="24"/>
          <w:szCs w:val="24"/>
        </w:rPr>
        <w:t>Az ESG teljesítmény mérése</w:t>
      </w:r>
      <w:bookmarkEnd w:id="16"/>
    </w:p>
    <w:p w14:paraId="51B16228" w14:textId="34B941A1" w:rsidR="00AD6D5D" w:rsidRPr="007E723C" w:rsidRDefault="00266E15" w:rsidP="00465ED4">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Ahogy azt már az első fejezetben is láthattuk, a vállalatok fenntarthatósági teljesítményének méréséhez elsősorban megfelelően kiépített számviteli rendszerekre van szükség. Emellett azonban fontos az is, hogy a mérések alapjául </w:t>
      </w:r>
      <w:r w:rsidRPr="007E723C">
        <w:rPr>
          <w:rFonts w:ascii="Georgia" w:hAnsi="Georgia" w:cs="Times New Roman"/>
          <w:sz w:val="24"/>
          <w:szCs w:val="24"/>
        </w:rPr>
        <w:lastRenderedPageBreak/>
        <w:t>szolgáló adatok megfelelőek legyenek és megbízható forrásból</w:t>
      </w:r>
      <w:r w:rsidR="00465ED4" w:rsidRPr="007E723C">
        <w:rPr>
          <w:rFonts w:ascii="Georgia" w:hAnsi="Georgia" w:cs="Times New Roman"/>
          <w:sz w:val="24"/>
          <w:szCs w:val="24"/>
        </w:rPr>
        <w:t xml:space="preserve"> is</w:t>
      </w:r>
      <w:r w:rsidRPr="007E723C">
        <w:rPr>
          <w:rFonts w:ascii="Georgia" w:hAnsi="Georgia" w:cs="Times New Roman"/>
          <w:sz w:val="24"/>
          <w:szCs w:val="24"/>
        </w:rPr>
        <w:t xml:space="preserve"> származzanak. Ebben a fejezetben azt fog</w:t>
      </w:r>
      <w:r w:rsidR="00210018" w:rsidRPr="007E723C">
        <w:rPr>
          <w:rFonts w:ascii="Georgia" w:hAnsi="Georgia" w:cs="Times New Roman"/>
          <w:sz w:val="24"/>
          <w:szCs w:val="24"/>
        </w:rPr>
        <w:t>juk</w:t>
      </w:r>
      <w:r w:rsidRPr="007E723C">
        <w:rPr>
          <w:rFonts w:ascii="Georgia" w:hAnsi="Georgia" w:cs="Times New Roman"/>
          <w:sz w:val="24"/>
          <w:szCs w:val="24"/>
        </w:rPr>
        <w:t xml:space="preserve"> áttekinteni, hogy milyen adatokra van ahhoz szükség, hogy mérni lehessen a vállalatok fenntarthatóságát, illetve, hogy mik ezeknek az információknak a lehetséges forrásai. </w:t>
      </w:r>
      <w:r w:rsidR="00E478B0" w:rsidRPr="007E723C">
        <w:rPr>
          <w:rFonts w:ascii="Georgia" w:hAnsi="Georgia" w:cs="Times New Roman"/>
          <w:sz w:val="24"/>
          <w:szCs w:val="24"/>
        </w:rPr>
        <w:t>Emellett</w:t>
      </w:r>
      <w:r w:rsidRPr="007E723C">
        <w:rPr>
          <w:rFonts w:ascii="Georgia" w:hAnsi="Georgia" w:cs="Times New Roman"/>
          <w:sz w:val="24"/>
          <w:szCs w:val="24"/>
        </w:rPr>
        <w:t xml:space="preserve"> kitérek azokra a módszerek</w:t>
      </w:r>
      <w:r w:rsidR="00E64E22" w:rsidRPr="007E723C">
        <w:rPr>
          <w:rFonts w:ascii="Georgia" w:hAnsi="Georgia" w:cs="Times New Roman"/>
          <w:sz w:val="24"/>
          <w:szCs w:val="24"/>
        </w:rPr>
        <w:t>re</w:t>
      </w:r>
      <w:r w:rsidRPr="007E723C">
        <w:rPr>
          <w:rFonts w:ascii="Georgia" w:hAnsi="Georgia" w:cs="Times New Roman"/>
          <w:sz w:val="24"/>
          <w:szCs w:val="24"/>
        </w:rPr>
        <w:t xml:space="preserve"> és eszközökre</w:t>
      </w:r>
      <w:r w:rsidR="00465ED4" w:rsidRPr="007E723C">
        <w:rPr>
          <w:rFonts w:ascii="Georgia" w:hAnsi="Georgia" w:cs="Times New Roman"/>
          <w:sz w:val="24"/>
          <w:szCs w:val="24"/>
        </w:rPr>
        <w:t xml:space="preserve"> is</w:t>
      </w:r>
      <w:r w:rsidRPr="007E723C">
        <w:rPr>
          <w:rFonts w:ascii="Georgia" w:hAnsi="Georgia" w:cs="Times New Roman"/>
          <w:sz w:val="24"/>
          <w:szCs w:val="24"/>
        </w:rPr>
        <w:t>, amelyek segítségével a méréseket el lehet végezni.</w:t>
      </w:r>
    </w:p>
    <w:p w14:paraId="53392D29" w14:textId="161DD9A2" w:rsidR="00546149" w:rsidRPr="007E723C" w:rsidRDefault="00546149" w:rsidP="00465ED4">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üzleti életben elengedhetetlen, hogy a vállalatok folyamatosan figyelemmel kísérjék saját teljesítményüket. </w:t>
      </w:r>
      <w:r w:rsidR="0064538D" w:rsidRPr="007E723C">
        <w:rPr>
          <w:rFonts w:ascii="Georgia" w:hAnsi="Georgia" w:cs="Times New Roman"/>
          <w:sz w:val="24"/>
          <w:szCs w:val="24"/>
        </w:rPr>
        <w:t xml:space="preserve">Hagyományosan a vállalatok pénzügyi kimutatásai azok a dokumentumok, melyek információt szolgáltatnak az adott társaság vagyoni, pénzügyi és jövedelmi helyzetéről. A mérleg és eredménykimutatás sorok, illetve a szöveges elemzések mellett azonban számos olyan </w:t>
      </w:r>
      <w:r w:rsidR="002B09B0" w:rsidRPr="007E723C">
        <w:rPr>
          <w:rFonts w:ascii="Georgia" w:hAnsi="Georgia" w:cs="Times New Roman"/>
          <w:sz w:val="24"/>
          <w:szCs w:val="24"/>
        </w:rPr>
        <w:t>pénzügyi mutató is létezik, amelyek segítségével viszonylag könnyedén és gyorsan számszerűsíteni lehet a vállalatok üzleti teljesítményét. Fontos kiemelni</w:t>
      </w:r>
      <w:r w:rsidR="00E478B0" w:rsidRPr="007E723C">
        <w:rPr>
          <w:rFonts w:ascii="Georgia" w:hAnsi="Georgia" w:cs="Times New Roman"/>
          <w:sz w:val="24"/>
          <w:szCs w:val="24"/>
        </w:rPr>
        <w:t xml:space="preserve"> azonban</w:t>
      </w:r>
      <w:r w:rsidR="002B09B0" w:rsidRPr="007E723C">
        <w:rPr>
          <w:rFonts w:ascii="Georgia" w:hAnsi="Georgia" w:cs="Times New Roman"/>
          <w:sz w:val="24"/>
          <w:szCs w:val="24"/>
        </w:rPr>
        <w:t xml:space="preserve">, hogy ezeknél a mutatóknál az egységes, jól kiépített módszertan biztosítja, hogy össze is lehessen hasonlítani az egyes vállalatok mutatószámait. </w:t>
      </w:r>
    </w:p>
    <w:p w14:paraId="4B40B8C3" w14:textId="457299F3" w:rsidR="00742546" w:rsidRPr="007E723C" w:rsidRDefault="00742546" w:rsidP="009A789C">
      <w:pPr>
        <w:spacing w:after="0" w:line="360" w:lineRule="auto"/>
        <w:ind w:firstLine="709"/>
        <w:jc w:val="both"/>
        <w:rPr>
          <w:rFonts w:ascii="Georgia" w:eastAsia="Times New Roman" w:hAnsi="Georgia" w:cs="Times New Roman"/>
          <w:sz w:val="24"/>
          <w:szCs w:val="24"/>
        </w:rPr>
      </w:pPr>
      <w:r w:rsidRPr="007E723C">
        <w:rPr>
          <w:rFonts w:ascii="Georgia" w:hAnsi="Georgia" w:cs="Times New Roman"/>
          <w:sz w:val="24"/>
          <w:szCs w:val="24"/>
        </w:rPr>
        <w:t>A fenntarthatóság üzleti életben való megjelenése szükségessé tette további mutatószámok, mutatószámrendszerek kidolgozását, melyek</w:t>
      </w:r>
      <w:r w:rsidR="00E478B0" w:rsidRPr="007E723C">
        <w:rPr>
          <w:rFonts w:ascii="Georgia" w:hAnsi="Georgia" w:cs="Times New Roman"/>
          <w:sz w:val="24"/>
          <w:szCs w:val="24"/>
        </w:rPr>
        <w:t xml:space="preserve"> a tisztán üzleti teljesítmény mellett</w:t>
      </w:r>
      <w:r w:rsidRPr="007E723C">
        <w:rPr>
          <w:rFonts w:ascii="Georgia" w:hAnsi="Georgia" w:cs="Times New Roman"/>
          <w:sz w:val="24"/>
          <w:szCs w:val="24"/>
        </w:rPr>
        <w:t xml:space="preserve"> alkalmasak a vállalatok fenntarthatósági teljesítményének mérésére</w:t>
      </w:r>
      <w:r w:rsidR="00210018" w:rsidRPr="007E723C">
        <w:rPr>
          <w:rFonts w:ascii="Georgia" w:hAnsi="Georgia" w:cs="Times New Roman"/>
          <w:sz w:val="24"/>
          <w:szCs w:val="24"/>
        </w:rPr>
        <w:t xml:space="preserve"> is</w:t>
      </w:r>
      <w:r w:rsidRPr="007E723C">
        <w:rPr>
          <w:rFonts w:ascii="Georgia" w:hAnsi="Georgia" w:cs="Times New Roman"/>
          <w:sz w:val="24"/>
          <w:szCs w:val="24"/>
        </w:rPr>
        <w:t>.</w:t>
      </w:r>
      <w:r w:rsidR="00E478B0" w:rsidRPr="007E723C">
        <w:rPr>
          <w:rFonts w:ascii="Georgia" w:hAnsi="Georgia" w:cs="Times New Roman"/>
          <w:sz w:val="24"/>
          <w:szCs w:val="24"/>
        </w:rPr>
        <w:t xml:space="preserve"> </w:t>
      </w:r>
      <w:r w:rsidR="00E478B0" w:rsidRPr="007E723C">
        <w:rPr>
          <w:rFonts w:ascii="Georgia" w:eastAsia="Times New Roman" w:hAnsi="Georgia" w:cs="Times New Roman"/>
          <w:sz w:val="24"/>
          <w:szCs w:val="24"/>
        </w:rPr>
        <w:t>Ha</w:t>
      </w:r>
      <w:r w:rsidR="009A789C" w:rsidRPr="007E723C">
        <w:rPr>
          <w:rFonts w:ascii="Georgia" w:eastAsia="Times New Roman" w:hAnsi="Georgia" w:cs="Times New Roman"/>
          <w:sz w:val="24"/>
          <w:szCs w:val="24"/>
        </w:rPr>
        <w:t xml:space="preserve"> tehát</w:t>
      </w:r>
      <w:r w:rsidR="00E478B0" w:rsidRPr="007E723C">
        <w:rPr>
          <w:rFonts w:ascii="Georgia" w:eastAsia="Times New Roman" w:hAnsi="Georgia" w:cs="Times New Roman"/>
          <w:sz w:val="24"/>
          <w:szCs w:val="24"/>
        </w:rPr>
        <w:t xml:space="preserve"> a vállalatok fenntarthatóság</w:t>
      </w:r>
      <w:r w:rsidR="009A789C" w:rsidRPr="007E723C">
        <w:rPr>
          <w:rFonts w:ascii="Georgia" w:eastAsia="Times New Roman" w:hAnsi="Georgia" w:cs="Times New Roman"/>
          <w:sz w:val="24"/>
          <w:szCs w:val="24"/>
        </w:rPr>
        <w:t xml:space="preserve">át </w:t>
      </w:r>
      <w:r w:rsidR="00E478B0" w:rsidRPr="007E723C">
        <w:rPr>
          <w:rFonts w:ascii="Georgia" w:eastAsia="Times New Roman" w:hAnsi="Georgia" w:cs="Times New Roman"/>
          <w:sz w:val="24"/>
          <w:szCs w:val="24"/>
        </w:rPr>
        <w:t>mérni</w:t>
      </w:r>
      <w:r w:rsidR="00210018" w:rsidRPr="007E723C">
        <w:rPr>
          <w:rFonts w:ascii="Georgia" w:eastAsia="Times New Roman" w:hAnsi="Georgia" w:cs="Times New Roman"/>
          <w:sz w:val="24"/>
          <w:szCs w:val="24"/>
        </w:rPr>
        <w:t xml:space="preserve"> szeretnénk</w:t>
      </w:r>
      <w:r w:rsidR="00E478B0" w:rsidRPr="007E723C">
        <w:rPr>
          <w:rFonts w:ascii="Georgia" w:eastAsia="Times New Roman" w:hAnsi="Georgia" w:cs="Times New Roman"/>
          <w:sz w:val="24"/>
          <w:szCs w:val="24"/>
        </w:rPr>
        <w:t>, akkor számos általános pénzügyi mutató mellett olyan releváns nem pénzügyi mutatószámokra is szükség van, melyek kapcsolatban állnak a vállalatok gazdasági teljesítményével, környezeti vagy társadalmi hatásaival.</w:t>
      </w:r>
    </w:p>
    <w:p w14:paraId="5C3738BA" w14:textId="6E2B186F" w:rsidR="00742546" w:rsidRPr="007E723C" w:rsidRDefault="00742546" w:rsidP="009A789C">
      <w:pPr>
        <w:spacing w:line="360" w:lineRule="auto"/>
        <w:jc w:val="both"/>
        <w:rPr>
          <w:rFonts w:ascii="Georgia" w:hAnsi="Georgia" w:cs="Times New Roman"/>
          <w:sz w:val="24"/>
          <w:szCs w:val="24"/>
        </w:rPr>
      </w:pPr>
      <w:r w:rsidRPr="007E723C">
        <w:rPr>
          <w:rFonts w:ascii="Georgia" w:hAnsi="Georgia" w:cs="Times New Roman"/>
          <w:sz w:val="24"/>
          <w:szCs w:val="24"/>
        </w:rPr>
        <w:t xml:space="preserve">A vállalatok fenntarthatósági vállalásainak közzétételére számos eszköz áll rendelkezésre. Siew </w:t>
      </w:r>
      <w:r w:rsidR="009061EE" w:rsidRPr="007E723C">
        <w:rPr>
          <w:rFonts w:ascii="Georgia" w:hAnsi="Georgia" w:cs="Times New Roman"/>
          <w:sz w:val="24"/>
          <w:szCs w:val="24"/>
        </w:rPr>
        <w:fldChar w:fldCharType="begin"/>
      </w:r>
      <w:r w:rsidR="009061EE" w:rsidRPr="007E723C">
        <w:rPr>
          <w:rFonts w:ascii="Georgia" w:hAnsi="Georgia" w:cs="Times New Roman"/>
          <w:sz w:val="24"/>
          <w:szCs w:val="24"/>
        </w:rPr>
        <w:instrText xml:space="preserve"> ADDIN ZOTERO_ITEM CSL_CITATION {"citationID":"nBlCqJ5N","properties":{"formattedCitation":"(2015)","plainCitation":"(2015)","noteIndex":0},"citationItems":[{"id":790,"uris":["http://zotero.org/users/9445126/items/AQTGE4R5"],"itemData":{"id":790,"type":"article-journal","container-title":"Journal of environmental management","note":"publisher: Elsevier","page":"180–195","source":"Google Scholar","title":"A review of corporate sustainability reporting tools (SRTs)","volume":"164","author":[{"family":"Siew","given":"Renard YJ"}],"issued":{"date-parts":[["2015"]]}},"label":"page","suppress-author":true}],"schema":"https://github.com/citation-style-language/schema/raw/master/csl-citation.json"} </w:instrText>
      </w:r>
      <w:r w:rsidR="009061EE" w:rsidRPr="007E723C">
        <w:rPr>
          <w:rFonts w:ascii="Georgia" w:hAnsi="Georgia" w:cs="Times New Roman"/>
          <w:sz w:val="24"/>
          <w:szCs w:val="24"/>
        </w:rPr>
        <w:fldChar w:fldCharType="separate"/>
      </w:r>
      <w:r w:rsidR="009061EE" w:rsidRPr="007E723C">
        <w:rPr>
          <w:rFonts w:ascii="Georgia" w:hAnsi="Georgia" w:cs="Times New Roman"/>
          <w:sz w:val="24"/>
          <w:szCs w:val="24"/>
        </w:rPr>
        <w:t>(2015)</w:t>
      </w:r>
      <w:r w:rsidR="009061EE" w:rsidRPr="007E723C">
        <w:rPr>
          <w:rFonts w:ascii="Georgia" w:hAnsi="Georgia" w:cs="Times New Roman"/>
          <w:sz w:val="24"/>
          <w:szCs w:val="24"/>
        </w:rPr>
        <w:fldChar w:fldCharType="end"/>
      </w:r>
      <w:r w:rsidRPr="007E723C">
        <w:rPr>
          <w:rFonts w:ascii="Georgia" w:hAnsi="Georgia" w:cs="Times New Roman"/>
          <w:sz w:val="24"/>
          <w:szCs w:val="24"/>
        </w:rPr>
        <w:t xml:space="preserve"> a vállalati fenntarthatóságról történő formális jelentéstétel három eszközét különíti el: (1) a nem-pénzügyi (vagy más néven fenntarthatósági) jelentések összeállítását standardizáló jelentéstételi rendszereket, (2) a különböző standardok szerinti tanúsítványokat, (3) valamint az értékelési (rating) rendszereket, indexeket. </w:t>
      </w:r>
      <w:r w:rsidR="009A789C" w:rsidRPr="007E723C">
        <w:rPr>
          <w:rFonts w:ascii="Georgia" w:hAnsi="Georgia" w:cs="Times New Roman"/>
          <w:sz w:val="24"/>
          <w:szCs w:val="24"/>
        </w:rPr>
        <w:t>Ehhez nagyon hasonlít</w:t>
      </w:r>
      <w:r w:rsidRPr="007E723C">
        <w:rPr>
          <w:rFonts w:ascii="Georgia" w:hAnsi="Georgia" w:cs="Times New Roman"/>
          <w:sz w:val="24"/>
          <w:szCs w:val="24"/>
        </w:rPr>
        <w:t xml:space="preserve"> Orlitzky és munkatársai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{"citationID":"3HPNIHl2","properties":{"formattedCitation":"(2003)","plainCitation":"(2003)","noteIndex":0},"citationItems":[{"id":675,"uris":["http://zotero.org/users/9445126/items/VJDNXZIY"],"itemData":{"id":675,"type":"article-journal","container-title":"Organization studies","issue":"3","note":"publisher: Sage Publications Sage CA: Thousand Oaks, CA","page":"403–441","source":"Google Scholar","title":"Corporate social and financial performance: A meta-analysis","title-short":"Corporate social and financial performance","volume":"24","author":[{"family":"Orlitzky","given":"Marc"},{"family":"Schmidt","given":"Frank L."},{"family":"Rynes","given":"Sara L."}],"issued":{"date-parts":[["2003"]]}},"label":"page","suppress-author":true}],"schema":"https://github.com/citation-style-language/schema/raw/master/csl-citation.json"}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(2003)</w:t>
      </w:r>
      <w:r w:rsidRPr="007E723C">
        <w:rPr>
          <w:rFonts w:ascii="Georgia" w:hAnsi="Georgia" w:cs="Times New Roman"/>
          <w:sz w:val="24"/>
          <w:szCs w:val="24"/>
        </w:rPr>
        <w:fldChar w:fldCharType="end"/>
      </w:r>
      <w:r w:rsidR="009A789C" w:rsidRPr="007E723C">
        <w:rPr>
          <w:rFonts w:ascii="Georgia" w:hAnsi="Georgia" w:cs="Times New Roman"/>
          <w:sz w:val="24"/>
          <w:szCs w:val="24"/>
        </w:rPr>
        <w:t xml:space="preserve"> által készített kategorizálás.</w:t>
      </w:r>
      <w:r w:rsidRPr="007E723C">
        <w:rPr>
          <w:rFonts w:ascii="Georgia" w:hAnsi="Georgia" w:cs="Times New Roman"/>
          <w:sz w:val="24"/>
          <w:szCs w:val="24"/>
        </w:rPr>
        <w:t xml:space="preserve"> </w:t>
      </w:r>
      <w:r w:rsidR="009A789C" w:rsidRPr="007E723C">
        <w:rPr>
          <w:rFonts w:ascii="Georgia" w:hAnsi="Georgia" w:cs="Times New Roman"/>
          <w:sz w:val="24"/>
          <w:szCs w:val="24"/>
        </w:rPr>
        <w:t>Véleményük szerint</w:t>
      </w:r>
      <w:r w:rsidRPr="007E723C">
        <w:rPr>
          <w:rFonts w:ascii="Georgia" w:hAnsi="Georgia" w:cs="Times New Roman"/>
          <w:sz w:val="24"/>
          <w:szCs w:val="24"/>
        </w:rPr>
        <w:t xml:space="preserve"> e</w:t>
      </w:r>
      <w:r w:rsidR="009A789C" w:rsidRPr="007E723C">
        <w:rPr>
          <w:rFonts w:ascii="Georgia" w:hAnsi="Georgia" w:cs="Times New Roman"/>
          <w:sz w:val="24"/>
          <w:szCs w:val="24"/>
        </w:rPr>
        <w:t>gyik</w:t>
      </w:r>
      <w:r w:rsidRPr="007E723C">
        <w:rPr>
          <w:rFonts w:ascii="Georgia" w:hAnsi="Georgia" w:cs="Times New Roman"/>
          <w:sz w:val="24"/>
          <w:szCs w:val="24"/>
        </w:rPr>
        <w:t xml:space="preserve"> és egyben talán legkézenfekvőbb mérési formát a fenntarthatósági jelentések értékelése adja. Ezek a jelentések, hasonlóan a pénzügyi beszámolókhoz rendszeresen nyilvánosságra kerülnek, így a benne szereplő adatokat évről évre össze lehet hasonlítani. Egy további lehetőség a fenntarthatósági teljesítmény mérésére különböző reputációs indexek használata, melyek valamilyen külső, </w:t>
      </w:r>
      <w:r w:rsidRPr="007E723C">
        <w:rPr>
          <w:rFonts w:ascii="Georgia" w:hAnsi="Georgia" w:cs="Times New Roman"/>
          <w:sz w:val="24"/>
          <w:szCs w:val="24"/>
        </w:rPr>
        <w:lastRenderedPageBreak/>
        <w:t xml:space="preserve">független fél által készített rangsorokból kerülnek ki, így szintén biztosítják az összehasonlíthatóságot. </w:t>
      </w:r>
      <w:r w:rsidR="00CB1700" w:rsidRPr="007E723C">
        <w:rPr>
          <w:rFonts w:ascii="Georgia" w:hAnsi="Georgia" w:cs="Times New Roman"/>
          <w:sz w:val="24"/>
          <w:szCs w:val="24"/>
        </w:rPr>
        <w:t>Wong</w:t>
      </w:r>
      <w:r w:rsidR="00DE1861" w:rsidRPr="007E723C">
        <w:rPr>
          <w:rFonts w:ascii="Georgia" w:hAnsi="Georgia" w:cs="Times New Roman"/>
          <w:sz w:val="24"/>
          <w:szCs w:val="24"/>
        </w:rPr>
        <w:t xml:space="preserve"> </w:t>
      </w:r>
      <w:r w:rsidR="00DE1861" w:rsidRPr="007E723C">
        <w:rPr>
          <w:rFonts w:ascii="Georgia" w:hAnsi="Georgia" w:cs="Times New Roman"/>
          <w:sz w:val="24"/>
          <w:szCs w:val="24"/>
        </w:rPr>
        <w:fldChar w:fldCharType="begin"/>
      </w:r>
      <w:r w:rsidR="00DE1861" w:rsidRPr="007E723C">
        <w:rPr>
          <w:rFonts w:ascii="Georgia" w:hAnsi="Georgia" w:cs="Times New Roman"/>
          <w:sz w:val="24"/>
          <w:szCs w:val="24"/>
        </w:rPr>
        <w:instrText xml:space="preserve"> ADDIN ZOTERO_ITEM CSL_CITATION {"citationID":"AfMVUE9q","properties":{"formattedCitation":"(2018)","plainCitation":"(2018)","noteIndex":0},"citationItems":[{"id":527,"uris":["http://zotero.org/users/9445126/items/BEYKC27W"],"itemData":{"id":527,"type":"document","language":"en","publisher":"The SustainAbility Institute","title":"Rate the Raters 2018: Ratings Revisited","URL":"https://www.sustainability.com/globalassets/sustainability.com/thinking/pdfs/sa-ratetheraters_ratings-revisited_march18.pdf","author":[{"family":"Wong","given":"Christina"}],"accessed":{"date-parts":[["2022",5,3]]},"issued":{"date-parts":[["2018"]]}},"label":"page","suppress-author":true}],"schema":"https://github.com/citation-style-language/schema/raw/master/csl-citation.json"} </w:instrText>
      </w:r>
      <w:r w:rsidR="00DE1861" w:rsidRPr="007E723C">
        <w:rPr>
          <w:rFonts w:ascii="Georgia" w:hAnsi="Georgia" w:cs="Times New Roman"/>
          <w:sz w:val="24"/>
          <w:szCs w:val="24"/>
        </w:rPr>
        <w:fldChar w:fldCharType="separate"/>
      </w:r>
      <w:r w:rsidR="00DE1861" w:rsidRPr="007E723C">
        <w:rPr>
          <w:rFonts w:ascii="Georgia" w:hAnsi="Georgia" w:cs="Times New Roman"/>
          <w:sz w:val="24"/>
          <w:szCs w:val="24"/>
        </w:rPr>
        <w:t>(2018)</w:t>
      </w:r>
      <w:r w:rsidR="00DE1861" w:rsidRPr="007E723C">
        <w:rPr>
          <w:rFonts w:ascii="Georgia" w:hAnsi="Georgia" w:cs="Times New Roman"/>
          <w:sz w:val="24"/>
          <w:szCs w:val="24"/>
        </w:rPr>
        <w:fldChar w:fldCharType="end"/>
      </w:r>
      <w:r w:rsidR="00CB1700" w:rsidRPr="007E723C">
        <w:rPr>
          <w:rFonts w:ascii="Georgia" w:hAnsi="Georgia" w:cs="Times New Roman"/>
          <w:sz w:val="24"/>
          <w:szCs w:val="24"/>
        </w:rPr>
        <w:t xml:space="preserve"> szintén kísérletet tett arra, hogy megkülönböztesse a fenntarthatóság mérésére szolgáló eszközök egyes csoportjait, melyek a fenntarthatósági indexek, rangsorok; fenntarthatósági iránymutatások, standardok; ESG minősítések. </w:t>
      </w:r>
    </w:p>
    <w:p w14:paraId="68920125" w14:textId="7C8B1247" w:rsidR="00CB1700" w:rsidRPr="007E723C" w:rsidRDefault="00CB1700" w:rsidP="00DE1861">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 következő </w:t>
      </w:r>
      <w:r w:rsidR="00DE1861" w:rsidRPr="007E723C">
        <w:rPr>
          <w:rFonts w:ascii="Georgia" w:hAnsi="Georgia" w:cs="Times New Roman"/>
          <w:sz w:val="24"/>
          <w:szCs w:val="24"/>
        </w:rPr>
        <w:t>al</w:t>
      </w:r>
      <w:r w:rsidRPr="007E723C">
        <w:rPr>
          <w:rFonts w:ascii="Georgia" w:hAnsi="Georgia" w:cs="Times New Roman"/>
          <w:sz w:val="24"/>
          <w:szCs w:val="24"/>
        </w:rPr>
        <w:t>fejezet</w:t>
      </w:r>
      <w:r w:rsidR="00DE1861" w:rsidRPr="007E723C">
        <w:rPr>
          <w:rFonts w:ascii="Georgia" w:hAnsi="Georgia" w:cs="Times New Roman"/>
          <w:sz w:val="24"/>
          <w:szCs w:val="24"/>
        </w:rPr>
        <w:t>ekben ezeket a mutatókat, mérési eszközöket mutatom be részletesebben.</w:t>
      </w:r>
    </w:p>
    <w:p w14:paraId="7E52BEE8" w14:textId="4C54618F" w:rsidR="00997431" w:rsidRPr="007E723C" w:rsidRDefault="00742546" w:rsidP="00FF7AC9">
      <w:pPr>
        <w:pStyle w:val="Cmsor3"/>
        <w:numPr>
          <w:ilvl w:val="2"/>
          <w:numId w:val="3"/>
        </w:numPr>
        <w:spacing w:after="160"/>
        <w:ind w:left="1701"/>
        <w:rPr>
          <w:rFonts w:ascii="Georgia" w:hAnsi="Georgia" w:cs="Times New Roman"/>
          <w:b/>
          <w:bCs/>
          <w:color w:val="auto"/>
        </w:rPr>
      </w:pPr>
      <w:bookmarkStart w:id="17" w:name="_Toc119421176"/>
      <w:r w:rsidRPr="007E723C">
        <w:rPr>
          <w:rFonts w:ascii="Georgia" w:hAnsi="Georgia" w:cs="Times New Roman"/>
          <w:b/>
          <w:bCs/>
          <w:color w:val="auto"/>
        </w:rPr>
        <w:t>Fenntarthatósági indexek, rangsorok</w:t>
      </w:r>
      <w:r w:rsidR="00022081">
        <w:rPr>
          <w:rFonts w:ascii="Georgia" w:hAnsi="Georgia" w:cs="Times New Roman"/>
          <w:b/>
          <w:bCs/>
          <w:color w:val="auto"/>
        </w:rPr>
        <w:t xml:space="preserve"> és iránymutatások</w:t>
      </w:r>
      <w:bookmarkEnd w:id="17"/>
    </w:p>
    <w:p w14:paraId="7B67A546" w14:textId="35B02A8E" w:rsidR="0047028B" w:rsidRPr="007E723C" w:rsidRDefault="0047028B" w:rsidP="00465ED4">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Wong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{"citationID":"QeD7jUT3","properties":{"formattedCitation":"(2018)","plainCitation":"(2018)","noteIndex":0},"citationItems":[{"id":527,"uris":["http://zotero.org/users/9445126/items/BEYKC27W"],"itemData":{"id":527,"type":"document","language":"en","publisher":"The SustainAbility Institute","title":"Rate the Raters 2018: Ratings Revisited","URL":"https://www.sustainability.com/globalassets/sustainability.com/thinking/pdfs/sa-ratetheraters_ratings-revisited_march18.pdf","author":[{"family":"Wong","given":"Christina"}],"accessed":{"date-parts":[["2022",5,3]]},"issued":{"date-parts":[["2018"]]}},"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(2018)</w:t>
      </w:r>
      <w:r w:rsidRPr="007E723C">
        <w:rPr>
          <w:rFonts w:ascii="Georgia" w:hAnsi="Georgia" w:cs="Times New Roman"/>
          <w:sz w:val="24"/>
          <w:szCs w:val="24"/>
        </w:rPr>
        <w:fldChar w:fldCharType="end"/>
      </w:r>
      <w:r w:rsidRPr="007E723C">
        <w:rPr>
          <w:rFonts w:ascii="Georgia" w:hAnsi="Georgia" w:cs="Times New Roman"/>
          <w:sz w:val="24"/>
          <w:szCs w:val="24"/>
        </w:rPr>
        <w:t xml:space="preserve"> </w:t>
      </w:r>
      <w:r w:rsidR="00DE1861" w:rsidRPr="007E723C">
        <w:rPr>
          <w:rFonts w:ascii="Georgia" w:hAnsi="Georgia" w:cs="Times New Roman"/>
          <w:sz w:val="24"/>
          <w:szCs w:val="24"/>
        </w:rPr>
        <w:t>m</w:t>
      </w:r>
      <w:r w:rsidRPr="007E723C">
        <w:rPr>
          <w:rFonts w:ascii="Georgia" w:hAnsi="Georgia" w:cs="Times New Roman"/>
          <w:sz w:val="24"/>
          <w:szCs w:val="24"/>
        </w:rPr>
        <w:t xml:space="preserve">eglátása </w:t>
      </w:r>
      <w:r w:rsidR="00DE1861" w:rsidRPr="007E723C">
        <w:rPr>
          <w:rFonts w:ascii="Georgia" w:hAnsi="Georgia" w:cs="Times New Roman"/>
          <w:sz w:val="24"/>
          <w:szCs w:val="24"/>
        </w:rPr>
        <w:t>szerint a vállalatok fenntarthatósági teljesítményének mérésére szolgáló mutatókat, mérési eszközök között</w:t>
      </w:r>
      <w:r w:rsidRPr="007E723C">
        <w:rPr>
          <w:rFonts w:ascii="Georgia" w:hAnsi="Georgia" w:cs="Times New Roman"/>
          <w:sz w:val="24"/>
          <w:szCs w:val="24"/>
        </w:rPr>
        <w:t xml:space="preserve"> </w:t>
      </w:r>
      <w:r w:rsidR="00E34A98" w:rsidRPr="007E723C">
        <w:rPr>
          <w:rFonts w:ascii="Georgia" w:hAnsi="Georgia" w:cs="Times New Roman"/>
          <w:sz w:val="24"/>
          <w:szCs w:val="24"/>
        </w:rPr>
        <w:t>vannak olyan rangsorok („rankings”), amelyek tulajdonképpen a fenntarthatósági teljesítményük alapján állítják sorba, vagy rendezi csoportokba a vállalatokat valamilyen pontozási rendszer segítségével. A két legismertebb ilyen mutató a Dow Jones Fenntarthatósági Index (DJSI), illetve az FTSE4Good Index.</w:t>
      </w:r>
    </w:p>
    <w:p w14:paraId="52A3E7FD" w14:textId="22933D17" w:rsidR="006B5F63" w:rsidRPr="007E723C" w:rsidRDefault="006B5F63" w:rsidP="005011D6">
      <w:pPr>
        <w:spacing w:after="0" w:line="360" w:lineRule="auto"/>
        <w:ind w:firstLine="709"/>
        <w:jc w:val="both"/>
        <w:rPr>
          <w:rFonts w:ascii="Georgia" w:hAnsi="Georgia" w:cs="Times New Roman"/>
          <w:i/>
          <w:iCs/>
          <w:sz w:val="24"/>
          <w:szCs w:val="24"/>
        </w:rPr>
      </w:pPr>
      <w:r w:rsidRPr="007E723C">
        <w:rPr>
          <w:rFonts w:ascii="Georgia" w:hAnsi="Georgia" w:cs="Times New Roman"/>
          <w:i/>
          <w:iCs/>
          <w:sz w:val="24"/>
          <w:szCs w:val="24"/>
        </w:rPr>
        <w:t>Dow Jones Sustainability Index</w:t>
      </w:r>
      <w:r w:rsidR="00644866" w:rsidRPr="007E723C">
        <w:rPr>
          <w:rFonts w:ascii="Georgia" w:hAnsi="Georgia" w:cs="Times New Roman"/>
          <w:i/>
          <w:iCs/>
          <w:sz w:val="24"/>
          <w:szCs w:val="24"/>
        </w:rPr>
        <w:t xml:space="preserve"> (DJSI)</w:t>
      </w:r>
    </w:p>
    <w:p w14:paraId="5F901E30" w14:textId="516A88E0" w:rsidR="000E7E55" w:rsidRPr="008B6594" w:rsidRDefault="00644866" w:rsidP="008B6594">
      <w:pPr>
        <w:spacing w:line="360" w:lineRule="auto"/>
        <w:jc w:val="both"/>
        <w:rPr>
          <w:rFonts w:ascii="Georgia" w:hAnsi="Georgia" w:cs="Times New Roman"/>
          <w:sz w:val="24"/>
          <w:szCs w:val="24"/>
        </w:rPr>
      </w:pPr>
      <w:r w:rsidRPr="007E723C">
        <w:rPr>
          <w:rFonts w:ascii="Georgia" w:hAnsi="Georgia" w:cs="Times New Roman"/>
          <w:sz w:val="24"/>
          <w:szCs w:val="24"/>
        </w:rPr>
        <w:t xml:space="preserve">A Dow Jones Fenntarthatósági Index az első mutatószámcsalád, mely a vállalatok fenntartható teljesítményének értékelésére szolgál. Az index a Dow Jones által listázott 2500 legnagyobb vállalat működésének gazdasági, társadalmi és környezeti hatásait vizsgálja, így </w:t>
      </w:r>
      <w:r w:rsidR="00820936" w:rsidRPr="007E723C">
        <w:rPr>
          <w:rFonts w:ascii="Georgia" w:hAnsi="Georgia" w:cs="Times New Roman"/>
          <w:sz w:val="24"/>
          <w:szCs w:val="24"/>
        </w:rPr>
        <w:t>segítségül szolgál azoknak a befektetőknek, akik a fenntarthatósági szempontokat is figyelembe akarják venni finanszírozási döntéseik során. Maga az index egy kérdőíven alapszik, melyet a vállalatok töltenek ki. Az így megkapott információkat további a médiában szereplő, illetve más nyilvánosan elérhető forrásokból származó adatokkal egészítik ki. Fontos kiemelni azonban az index egy jelentős problémáját is, mely a</w:t>
      </w:r>
      <w:r w:rsidR="005011D6" w:rsidRPr="007E723C">
        <w:rPr>
          <w:rFonts w:ascii="Georgia" w:hAnsi="Georgia" w:cs="Times New Roman"/>
          <w:sz w:val="24"/>
          <w:szCs w:val="24"/>
        </w:rPr>
        <w:t xml:space="preserve"> kérdőíves felmérés módszertanából fakad. Mivel az értékelés nagyrészt az így megszerzett információkra támaszkodik, ezért jelentős torzítás kerülhet az elemzés</w:t>
      </w:r>
      <w:r w:rsidR="00210018" w:rsidRPr="007E723C">
        <w:rPr>
          <w:rFonts w:ascii="Georgia" w:hAnsi="Georgia" w:cs="Times New Roman"/>
          <w:sz w:val="24"/>
          <w:szCs w:val="24"/>
        </w:rPr>
        <w:t>b</w:t>
      </w:r>
      <w:r w:rsidR="005011D6" w:rsidRPr="007E723C">
        <w:rPr>
          <w:rFonts w:ascii="Georgia" w:hAnsi="Georgia" w:cs="Times New Roman"/>
          <w:sz w:val="24"/>
          <w:szCs w:val="24"/>
        </w:rPr>
        <w:t>e, ami egyértelműen megkérdőjelezi az index megbízhatóságát is</w:t>
      </w:r>
      <w:r w:rsidR="009061EE" w:rsidRPr="007E723C">
        <w:rPr>
          <w:rFonts w:ascii="Georgia" w:hAnsi="Georgia" w:cs="Times New Roman"/>
          <w:sz w:val="24"/>
          <w:szCs w:val="24"/>
        </w:rPr>
        <w:t xml:space="preserve"> </w:t>
      </w:r>
      <w:r w:rsidR="009061EE" w:rsidRPr="007E723C">
        <w:rPr>
          <w:rFonts w:ascii="Georgia" w:hAnsi="Georgia" w:cs="Times New Roman"/>
          <w:sz w:val="24"/>
          <w:szCs w:val="24"/>
        </w:rPr>
        <w:fldChar w:fldCharType="begin"/>
      </w:r>
      <w:r w:rsidR="009061EE" w:rsidRPr="007E723C">
        <w:rPr>
          <w:rFonts w:ascii="Georgia" w:hAnsi="Georgia" w:cs="Times New Roman"/>
          <w:sz w:val="24"/>
          <w:szCs w:val="24"/>
        </w:rPr>
        <w:instrText xml:space="preserve"> ADDIN ZOTERO_ITEM CSL_CITATION {"citationID":"NViQvfk3","properties":{"formattedCitation":"(S&amp;P Global, 2022)","plainCitation":"(S&amp;P Global, 2022)","noteIndex":0},"citationItems":[{"id":709,"uris":["http://zotero.org/users/9445126/items/SYBIG62G"],"itemData":{"id":709,"type":"webpage","title":"We are S&amp;P Global.","URL":"https://www.spglobal.com/en/who-we-are/","author":[{"family":"S&amp;P Global","given":""}],"issued":{"date-parts":[["2022"]]}}}],"schema":"https://github.com/citation-style-language/schema/raw/master/csl-citation.json"} </w:instrText>
      </w:r>
      <w:r w:rsidR="009061EE" w:rsidRPr="007E723C">
        <w:rPr>
          <w:rFonts w:ascii="Georgia" w:hAnsi="Georgia" w:cs="Times New Roman"/>
          <w:sz w:val="24"/>
          <w:szCs w:val="24"/>
        </w:rPr>
        <w:fldChar w:fldCharType="separate"/>
      </w:r>
      <w:r w:rsidR="009061EE" w:rsidRPr="007E723C">
        <w:rPr>
          <w:rFonts w:ascii="Georgia" w:hAnsi="Georgia" w:cs="Times New Roman"/>
          <w:sz w:val="24"/>
          <w:szCs w:val="24"/>
        </w:rPr>
        <w:t>(S&amp;P Global, 2022)</w:t>
      </w:r>
      <w:r w:rsidR="009061EE" w:rsidRPr="007E723C">
        <w:rPr>
          <w:rFonts w:ascii="Georgia" w:hAnsi="Georgia" w:cs="Times New Roman"/>
          <w:sz w:val="24"/>
          <w:szCs w:val="24"/>
        </w:rPr>
        <w:fldChar w:fldCharType="end"/>
      </w:r>
      <w:r w:rsidR="005011D6" w:rsidRPr="007E723C">
        <w:rPr>
          <w:rFonts w:ascii="Georgia" w:hAnsi="Georgia" w:cs="Times New Roman"/>
          <w:sz w:val="24"/>
          <w:szCs w:val="24"/>
        </w:rPr>
        <w:t>.</w:t>
      </w:r>
    </w:p>
    <w:p w14:paraId="1EE1B53B" w14:textId="70D968A3" w:rsidR="005011D6" w:rsidRPr="007E723C" w:rsidRDefault="005011D6" w:rsidP="002D1DB2">
      <w:pPr>
        <w:spacing w:after="0" w:line="360" w:lineRule="auto"/>
        <w:ind w:firstLine="709"/>
        <w:jc w:val="both"/>
        <w:rPr>
          <w:rFonts w:ascii="Georgia" w:hAnsi="Georgia" w:cs="Times New Roman"/>
          <w:i/>
          <w:iCs/>
          <w:sz w:val="24"/>
          <w:szCs w:val="24"/>
        </w:rPr>
      </w:pPr>
      <w:r w:rsidRPr="007E723C">
        <w:rPr>
          <w:rFonts w:ascii="Georgia" w:hAnsi="Georgia" w:cs="Times New Roman"/>
          <w:i/>
          <w:iCs/>
          <w:sz w:val="24"/>
          <w:szCs w:val="24"/>
        </w:rPr>
        <w:t>FTSE4</w:t>
      </w:r>
      <w:r w:rsidR="008C7751" w:rsidRPr="007E723C">
        <w:rPr>
          <w:rFonts w:ascii="Georgia" w:hAnsi="Georgia" w:cs="Times New Roman"/>
          <w:i/>
          <w:iCs/>
          <w:sz w:val="24"/>
          <w:szCs w:val="24"/>
        </w:rPr>
        <w:t xml:space="preserve"> </w:t>
      </w:r>
      <w:r w:rsidRPr="007E723C">
        <w:rPr>
          <w:rFonts w:ascii="Georgia" w:hAnsi="Georgia" w:cs="Times New Roman"/>
          <w:i/>
          <w:iCs/>
          <w:sz w:val="24"/>
          <w:szCs w:val="24"/>
        </w:rPr>
        <w:t>Good Index</w:t>
      </w:r>
    </w:p>
    <w:p w14:paraId="2BCC1147" w14:textId="70A772AC" w:rsidR="002D1DB2" w:rsidRDefault="008C7751" w:rsidP="008C7751">
      <w:pPr>
        <w:spacing w:line="360" w:lineRule="auto"/>
        <w:jc w:val="both"/>
        <w:rPr>
          <w:rFonts w:ascii="Georgia" w:hAnsi="Georgia" w:cs="Times New Roman"/>
          <w:sz w:val="24"/>
          <w:szCs w:val="24"/>
        </w:rPr>
      </w:pPr>
      <w:r w:rsidRPr="007E723C">
        <w:rPr>
          <w:rFonts w:ascii="Georgia" w:hAnsi="Georgia" w:cs="Times New Roman"/>
          <w:sz w:val="24"/>
          <w:szCs w:val="24"/>
        </w:rPr>
        <w:t xml:space="preserve">Az FTSE4 Good Index több, mint 2300 tőzsdén jegyzett, nyilvános társaság fenntarthatósági teljesítményének környezeti, társadalmi és vállalatirányítási szempontjait vizsgálja. </w:t>
      </w:r>
      <w:r w:rsidR="002D1DB2" w:rsidRPr="007E723C">
        <w:rPr>
          <w:rFonts w:ascii="Georgia" w:hAnsi="Georgia" w:cs="Times New Roman"/>
          <w:sz w:val="24"/>
          <w:szCs w:val="24"/>
        </w:rPr>
        <w:t xml:space="preserve">Az indexhez környezeti, emberi jogi és társadalmi témájú információkat gyűjtenek, majd minden témában a meghatározott mutatók közül </w:t>
      </w:r>
      <w:r w:rsidR="002D1DB2" w:rsidRPr="007E723C">
        <w:rPr>
          <w:rFonts w:ascii="Georgia" w:hAnsi="Georgia" w:cs="Times New Roman"/>
          <w:sz w:val="24"/>
          <w:szCs w:val="24"/>
        </w:rPr>
        <w:lastRenderedPageBreak/>
        <w:t>bizonyos számút teljesíteniük is kell a vállalatoknak. Ezek alapján pedig egy 5 fokozatú skálán értékelik fenntarthatósági teljesítményüket. Az index fő célja, hogy támogassa a befektetőket abban, hogy megtalálják azokat a vállalatokat, amelyek fenntarthatósági szempontból világszinten is kiemelkedően teljesítenek</w:t>
      </w:r>
      <w:r w:rsidR="009061EE" w:rsidRPr="007E723C">
        <w:rPr>
          <w:rFonts w:ascii="Georgia" w:hAnsi="Georgia" w:cs="Times New Roman"/>
          <w:sz w:val="24"/>
          <w:szCs w:val="24"/>
        </w:rPr>
        <w:t xml:space="preserve"> </w:t>
      </w:r>
      <w:r w:rsidR="009061EE" w:rsidRPr="007E723C">
        <w:rPr>
          <w:rFonts w:ascii="Georgia" w:hAnsi="Georgia" w:cs="Times New Roman"/>
          <w:sz w:val="24"/>
          <w:szCs w:val="24"/>
        </w:rPr>
        <w:fldChar w:fldCharType="begin"/>
      </w:r>
      <w:r w:rsidR="009061EE" w:rsidRPr="007E723C">
        <w:rPr>
          <w:rFonts w:ascii="Georgia" w:hAnsi="Georgia" w:cs="Times New Roman"/>
          <w:sz w:val="24"/>
          <w:szCs w:val="24"/>
        </w:rPr>
        <w:instrText xml:space="preserve"> ADDIN ZOTERO_ITEM CSL_CITATION {"citationID":"lqh1K2Kr","properties":{"formattedCitation":"(FTSE Russell, 2022)","plainCitation":"(FTSE Russell, 2022)","noteIndex":0},"citationItems":[{"id":710,"uris":["http://zotero.org/users/9445126/items/27487RIJ"],"itemData":{"id":710,"type":"webpage","title":"About FTSE Russell","URL":"https://www.ftserussell.com/about-us","author":[{"family":"FTSE Russell","given":""}],"issued":{"date-parts":[["2022"]]}}}],"schema":"https://github.com/citation-style-language/schema/raw/master/csl-citation.json"} </w:instrText>
      </w:r>
      <w:r w:rsidR="009061EE" w:rsidRPr="007E723C">
        <w:rPr>
          <w:rFonts w:ascii="Georgia" w:hAnsi="Georgia" w:cs="Times New Roman"/>
          <w:sz w:val="24"/>
          <w:szCs w:val="24"/>
        </w:rPr>
        <w:fldChar w:fldCharType="separate"/>
      </w:r>
      <w:r w:rsidR="009061EE" w:rsidRPr="007E723C">
        <w:rPr>
          <w:rFonts w:ascii="Georgia" w:hAnsi="Georgia" w:cs="Times New Roman"/>
          <w:sz w:val="24"/>
          <w:szCs w:val="24"/>
        </w:rPr>
        <w:t>(FTSE Russell, 2022)</w:t>
      </w:r>
      <w:r w:rsidR="009061EE" w:rsidRPr="007E723C">
        <w:rPr>
          <w:rFonts w:ascii="Georgia" w:hAnsi="Georgia" w:cs="Times New Roman"/>
          <w:sz w:val="24"/>
          <w:szCs w:val="24"/>
        </w:rPr>
        <w:fldChar w:fldCharType="end"/>
      </w:r>
      <w:r w:rsidR="002D1DB2" w:rsidRPr="007E723C">
        <w:rPr>
          <w:rFonts w:ascii="Georgia" w:hAnsi="Georgia" w:cs="Times New Roman"/>
          <w:sz w:val="24"/>
          <w:szCs w:val="24"/>
        </w:rPr>
        <w:t>.</w:t>
      </w:r>
    </w:p>
    <w:p w14:paraId="62E7175C" w14:textId="56A6C7E3" w:rsidR="00022081" w:rsidRPr="007E723C" w:rsidRDefault="00022081" w:rsidP="0035351E">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Wong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{"citationID":"OwjQMVqp","properties":{"formattedCitation":"(2018)","plainCitation":"(2018)","noteIndex":0},"citationItems":[{"id":527,"uris":["http://zotero.org/users/9445126/items/BEYKC27W"],"itemData":{"id":527,"type":"document","language":"en","publisher":"The SustainAbility Institute","title":"Rate the Raters 2018: Ratings Revisited","URL":"https://www.sustainability.com/globalassets/sustainability.com/thinking/pdfs/sa-ratetheraters_ratings-revisited_march18.pdf","author":[{"family":"Wong","given":"Christina"}],"accessed":{"date-parts":[["2022",5,3]]},"issued":{"date-parts":[["2018"]]}},"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(2018)</w:t>
      </w:r>
      <w:r w:rsidRPr="007E723C">
        <w:rPr>
          <w:rFonts w:ascii="Georgia" w:hAnsi="Georgia" w:cs="Times New Roman"/>
          <w:sz w:val="24"/>
          <w:szCs w:val="24"/>
        </w:rPr>
        <w:fldChar w:fldCharType="end"/>
      </w:r>
      <w:r w:rsidRPr="007E723C">
        <w:rPr>
          <w:rFonts w:ascii="Georgia" w:hAnsi="Georgia" w:cs="Times New Roman"/>
          <w:sz w:val="24"/>
          <w:szCs w:val="24"/>
        </w:rPr>
        <w:t xml:space="preserve"> kategorizálása szerint a vállalatok felelősségvállalásának mérésére szolgálnak a különböző fenntarthatósági és ESG iránymutatások („guidelines”), keretrendszerek is, melyek az előző indexekkel ellentétben a vállalatok rangsorolásában, vagy csoportosításában segítenek, hanem egy olyan keretrendszert, szabványt kínálnak, melynek segítségével az ESG-hez kapcsolódó közzétételt, illetve értékeléseket el lehet végezni. Ide tartoznak azok a nemzetközi standardok, amelyekről már a 3. fejezetben is említést tettem (GRI, SASB, TCFD, CDP)</w:t>
      </w:r>
      <w:r>
        <w:rPr>
          <w:rFonts w:ascii="Georgia" w:hAnsi="Georgia" w:cs="Times New Roman"/>
          <w:sz w:val="24"/>
          <w:szCs w:val="24"/>
        </w:rPr>
        <w:t>.</w:t>
      </w:r>
    </w:p>
    <w:p w14:paraId="142004D2" w14:textId="2278A0BC" w:rsidR="00356927" w:rsidRPr="007E723C" w:rsidRDefault="00356927" w:rsidP="00FF7AC9">
      <w:pPr>
        <w:pStyle w:val="Cmsor3"/>
        <w:numPr>
          <w:ilvl w:val="2"/>
          <w:numId w:val="3"/>
        </w:numPr>
        <w:spacing w:after="160"/>
        <w:ind w:left="1701"/>
        <w:rPr>
          <w:rFonts w:ascii="Georgia" w:hAnsi="Georgia" w:cs="Times New Roman"/>
          <w:b/>
          <w:bCs/>
          <w:color w:val="auto"/>
        </w:rPr>
      </w:pPr>
      <w:bookmarkStart w:id="18" w:name="_Toc119421177"/>
      <w:r w:rsidRPr="007E723C">
        <w:rPr>
          <w:rFonts w:ascii="Georgia" w:hAnsi="Georgia" w:cs="Times New Roman"/>
          <w:b/>
          <w:bCs/>
          <w:color w:val="auto"/>
        </w:rPr>
        <w:t>ESG minősítések</w:t>
      </w:r>
      <w:bookmarkEnd w:id="18"/>
    </w:p>
    <w:p w14:paraId="70A16F83" w14:textId="2A42603B" w:rsidR="00356927" w:rsidRPr="007E723C" w:rsidRDefault="00356927" w:rsidP="00356927">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Wong,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{"citationID":"dQOZxjMt","properties":{"formattedCitation":"(2018)","plainCitation":"(2018)","noteIndex":0},"citationItems":[{"id":527,"uris":["http://zotero.org/users/9445126/items/BEYKC27W"],"itemData":{"id":527,"type":"document","language":"en","publisher":"The SustainAbility Institute","title":"Rate the Raters 2018: Ratings Revisited","URL":"https://www.sustainability.com/globalassets/sustainability.com/thinking/pdfs/sa-ratetheraters_ratings-revisited_march18.pdf","author":[{"family":"Wong","given":"Christina"}],"accessed":{"date-parts":[["2022",5,3]]},"issued":{"date-parts":[["2018"]]}},"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(2018)</w:t>
      </w:r>
      <w:r w:rsidRPr="007E723C">
        <w:rPr>
          <w:rFonts w:ascii="Georgia" w:hAnsi="Georgia" w:cs="Times New Roman"/>
          <w:sz w:val="24"/>
          <w:szCs w:val="24"/>
        </w:rPr>
        <w:fldChar w:fldCharType="end"/>
      </w:r>
      <w:r w:rsidRPr="007E723C">
        <w:rPr>
          <w:rFonts w:ascii="Georgia" w:hAnsi="Georgia" w:cs="Times New Roman"/>
          <w:sz w:val="24"/>
          <w:szCs w:val="24"/>
        </w:rPr>
        <w:t xml:space="preserve"> szerint</w:t>
      </w:r>
      <w:r w:rsidR="00AD04C4" w:rsidRPr="007E723C">
        <w:rPr>
          <w:rFonts w:ascii="Georgia" w:hAnsi="Georgia" w:cs="Times New Roman"/>
          <w:sz w:val="24"/>
          <w:szCs w:val="24"/>
        </w:rPr>
        <w:t xml:space="preserve"> a különböző indexek és szabványok mellett</w:t>
      </w:r>
      <w:r w:rsidRPr="007E723C">
        <w:rPr>
          <w:rFonts w:ascii="Georgia" w:hAnsi="Georgia" w:cs="Times New Roman"/>
          <w:sz w:val="24"/>
          <w:szCs w:val="24"/>
        </w:rPr>
        <w:t xml:space="preserve"> az ESG-re épülő minősítések</w:t>
      </w:r>
      <w:r w:rsidR="00E770F4" w:rsidRPr="007E723C">
        <w:rPr>
          <w:rFonts w:ascii="Georgia" w:hAnsi="Georgia" w:cs="Times New Roman"/>
          <w:sz w:val="24"/>
          <w:szCs w:val="24"/>
        </w:rPr>
        <w:t xml:space="preserve"> a</w:t>
      </w:r>
      <w:r w:rsidR="00AD04C4" w:rsidRPr="007E723C">
        <w:rPr>
          <w:rFonts w:ascii="Georgia" w:hAnsi="Georgia" w:cs="Times New Roman"/>
          <w:sz w:val="24"/>
          <w:szCs w:val="24"/>
        </w:rPr>
        <w:t xml:space="preserve">dják a </w:t>
      </w:r>
      <w:r w:rsidR="00E770F4" w:rsidRPr="007E723C">
        <w:rPr>
          <w:rFonts w:ascii="Georgia" w:hAnsi="Georgia" w:cs="Times New Roman"/>
          <w:sz w:val="24"/>
          <w:szCs w:val="24"/>
        </w:rPr>
        <w:t xml:space="preserve">vállalati fenntarthatóság mérési eszközeinek harmadik csoportját. </w:t>
      </w:r>
      <w:r w:rsidR="00E132FF" w:rsidRPr="007E723C">
        <w:rPr>
          <w:rFonts w:ascii="Georgia" w:hAnsi="Georgia" w:cs="Times New Roman"/>
          <w:sz w:val="24"/>
          <w:szCs w:val="24"/>
        </w:rPr>
        <w:t xml:space="preserve">Mivel dolgozatom fő fókuszát is ez a mérési eszköz adja, ezért a továbbiakban már csak az ESG minősítések tágabb megismerésére koncentrálunk. </w:t>
      </w:r>
      <w:r w:rsidR="00E770F4" w:rsidRPr="007E723C">
        <w:rPr>
          <w:rFonts w:ascii="Georgia" w:hAnsi="Georgia" w:cs="Times New Roman"/>
          <w:sz w:val="24"/>
          <w:szCs w:val="24"/>
        </w:rPr>
        <w:t>Ezek a minősítések</w:t>
      </w:r>
      <w:r w:rsidRPr="007E723C">
        <w:rPr>
          <w:rFonts w:ascii="Georgia" w:hAnsi="Georgia" w:cs="Times New Roman"/>
          <w:sz w:val="24"/>
          <w:szCs w:val="24"/>
        </w:rPr>
        <w:t xml:space="preserve"> felfoghatóak egy olyan értékelésnek, amely a környezeti, társadalmi és </w:t>
      </w:r>
      <w:r w:rsidR="00E770F4" w:rsidRPr="007E723C">
        <w:rPr>
          <w:rFonts w:ascii="Georgia" w:hAnsi="Georgia" w:cs="Times New Roman"/>
          <w:sz w:val="24"/>
          <w:szCs w:val="24"/>
        </w:rPr>
        <w:t>vállalat</w:t>
      </w:r>
      <w:r w:rsidRPr="007E723C">
        <w:rPr>
          <w:rFonts w:ascii="Georgia" w:hAnsi="Georgia" w:cs="Times New Roman"/>
          <w:sz w:val="24"/>
          <w:szCs w:val="24"/>
        </w:rPr>
        <w:t>irányítási kérdésekben nyújtott teljesítmény összehasonlító értékelésén alapul. Ennek megfelelően a</w:t>
      </w:r>
      <w:r w:rsidR="00E770F4" w:rsidRPr="007E723C">
        <w:rPr>
          <w:rFonts w:ascii="Georgia" w:hAnsi="Georgia" w:cs="Times New Roman"/>
          <w:sz w:val="24"/>
          <w:szCs w:val="24"/>
        </w:rPr>
        <w:t xml:space="preserve"> minősítési folyamat során meghatározott</w:t>
      </w:r>
      <w:r w:rsidRPr="007E723C">
        <w:rPr>
          <w:rFonts w:ascii="Georgia" w:hAnsi="Georgia" w:cs="Times New Roman"/>
          <w:sz w:val="24"/>
          <w:szCs w:val="24"/>
        </w:rPr>
        <w:t xml:space="preserve"> ESG pontszámok mérőszámként szolgálnak a vállalatok fenntarthatósági teljesítményé</w:t>
      </w:r>
      <w:r w:rsidR="00E770F4" w:rsidRPr="007E723C">
        <w:rPr>
          <w:rFonts w:ascii="Georgia" w:hAnsi="Georgia" w:cs="Times New Roman"/>
          <w:sz w:val="24"/>
          <w:szCs w:val="24"/>
        </w:rPr>
        <w:t>re</w:t>
      </w:r>
      <w:r w:rsidRPr="007E723C">
        <w:rPr>
          <w:rFonts w:ascii="Georgia" w:hAnsi="Georgia" w:cs="Times New Roman"/>
          <w:sz w:val="24"/>
          <w:szCs w:val="24"/>
        </w:rPr>
        <w:t xml:space="preserve"> vonatkoz</w:t>
      </w:r>
      <w:r w:rsidR="00E770F4" w:rsidRPr="007E723C">
        <w:rPr>
          <w:rFonts w:ascii="Georgia" w:hAnsi="Georgia" w:cs="Times New Roman"/>
          <w:sz w:val="24"/>
          <w:szCs w:val="24"/>
        </w:rPr>
        <w:t>óan</w:t>
      </w:r>
      <w:r w:rsidRPr="007E723C">
        <w:rPr>
          <w:rFonts w:ascii="Georgia" w:hAnsi="Georgia" w:cs="Times New Roman"/>
          <w:sz w:val="24"/>
          <w:szCs w:val="24"/>
        </w:rPr>
        <w:t xml:space="preserve">. </w:t>
      </w:r>
      <w:r w:rsidR="00D8294F" w:rsidRPr="007E723C">
        <w:rPr>
          <w:rFonts w:ascii="Georgia" w:hAnsi="Georgia" w:cs="Times New Roman"/>
          <w:sz w:val="24"/>
          <w:szCs w:val="24"/>
        </w:rPr>
        <w:t xml:space="preserve">Ez az egyik leggyakrabban használt eszköz a vállalati fenntarthatóság mérésére, amelyet jellemzően kellő szakértelemmel rendelkező értékelő cégek végeznek. Az általuk készített értékelésekhez való hozzáférés előfizetéshez kötött, </w:t>
      </w:r>
      <w:r w:rsidR="008006AC" w:rsidRPr="007E723C">
        <w:rPr>
          <w:rFonts w:ascii="Georgia" w:hAnsi="Georgia" w:cs="Times New Roman"/>
          <w:sz w:val="24"/>
          <w:szCs w:val="24"/>
        </w:rPr>
        <w:t xml:space="preserve">cserébe viszont nagy lefedettségüknek köszönhetően rengeteg vállalat ESG </w:t>
      </w:r>
      <w:r w:rsidR="00AD04C4" w:rsidRPr="007E723C">
        <w:rPr>
          <w:rFonts w:ascii="Georgia" w:hAnsi="Georgia" w:cs="Times New Roman"/>
          <w:sz w:val="24"/>
          <w:szCs w:val="24"/>
        </w:rPr>
        <w:t>pontszámát</w:t>
      </w:r>
      <w:r w:rsidR="008E6EB7" w:rsidRPr="007E723C">
        <w:rPr>
          <w:rFonts w:ascii="Georgia" w:hAnsi="Georgia" w:cs="Times New Roman"/>
          <w:sz w:val="24"/>
          <w:szCs w:val="24"/>
        </w:rPr>
        <w:t xml:space="preserve"> </w:t>
      </w:r>
      <w:r w:rsidR="00AD04C4" w:rsidRPr="007E723C">
        <w:rPr>
          <w:rFonts w:ascii="Georgia" w:hAnsi="Georgia" w:cs="Times New Roman"/>
          <w:sz w:val="24"/>
          <w:szCs w:val="24"/>
        </w:rPr>
        <w:t xml:space="preserve">lehet </w:t>
      </w:r>
      <w:r w:rsidR="008E6EB7" w:rsidRPr="007E723C">
        <w:rPr>
          <w:rFonts w:ascii="Georgia" w:hAnsi="Georgia" w:cs="Times New Roman"/>
          <w:sz w:val="24"/>
          <w:szCs w:val="24"/>
        </w:rPr>
        <w:t>el</w:t>
      </w:r>
      <w:r w:rsidR="00AD04C4" w:rsidRPr="007E723C">
        <w:rPr>
          <w:rFonts w:ascii="Georgia" w:hAnsi="Georgia" w:cs="Times New Roman"/>
          <w:sz w:val="24"/>
          <w:szCs w:val="24"/>
        </w:rPr>
        <w:t>érni</w:t>
      </w:r>
      <w:r w:rsidR="008006AC" w:rsidRPr="007E723C">
        <w:rPr>
          <w:rFonts w:ascii="Georgia" w:hAnsi="Georgia" w:cs="Times New Roman"/>
          <w:sz w:val="24"/>
          <w:szCs w:val="24"/>
        </w:rPr>
        <w:t>. Maga a</w:t>
      </w:r>
      <w:r w:rsidR="00AD04C4" w:rsidRPr="007E723C">
        <w:rPr>
          <w:rFonts w:ascii="Georgia" w:hAnsi="Georgia" w:cs="Times New Roman"/>
          <w:sz w:val="24"/>
          <w:szCs w:val="24"/>
        </w:rPr>
        <w:t xml:space="preserve"> minősítők által alkalmazott</w:t>
      </w:r>
      <w:r w:rsidR="008006AC" w:rsidRPr="007E723C">
        <w:rPr>
          <w:rFonts w:ascii="Georgia" w:hAnsi="Georgia" w:cs="Times New Roman"/>
          <w:sz w:val="24"/>
          <w:szCs w:val="24"/>
        </w:rPr>
        <w:t xml:space="preserve"> pontszámítás</w:t>
      </w:r>
      <w:r w:rsidR="00AD04C4" w:rsidRPr="007E723C">
        <w:rPr>
          <w:rFonts w:ascii="Georgia" w:hAnsi="Georgia" w:cs="Times New Roman"/>
          <w:sz w:val="24"/>
          <w:szCs w:val="24"/>
        </w:rPr>
        <w:t>i</w:t>
      </w:r>
      <w:r w:rsidR="008006AC" w:rsidRPr="007E723C">
        <w:rPr>
          <w:rFonts w:ascii="Georgia" w:hAnsi="Georgia" w:cs="Times New Roman"/>
          <w:sz w:val="24"/>
          <w:szCs w:val="24"/>
        </w:rPr>
        <w:t xml:space="preserve"> módszertan rendkívül szerteágazó, amely számos kutatás alapját képezte az elmúlt években. Ezeket majd a további fejezetekben, illetve kutatás</w:t>
      </w:r>
      <w:r w:rsidR="00DB529F">
        <w:rPr>
          <w:rFonts w:ascii="Georgia" w:hAnsi="Georgia" w:cs="Times New Roman"/>
          <w:sz w:val="24"/>
          <w:szCs w:val="24"/>
        </w:rPr>
        <w:t>unk</w:t>
      </w:r>
      <w:r w:rsidR="008006AC" w:rsidRPr="007E723C">
        <w:rPr>
          <w:rFonts w:ascii="Georgia" w:hAnsi="Georgia" w:cs="Times New Roman"/>
          <w:sz w:val="24"/>
          <w:szCs w:val="24"/>
        </w:rPr>
        <w:t xml:space="preserve"> részeként fejt</w:t>
      </w:r>
      <w:r w:rsidR="00DB529F">
        <w:rPr>
          <w:rFonts w:ascii="Georgia" w:hAnsi="Georgia" w:cs="Times New Roman"/>
          <w:sz w:val="24"/>
          <w:szCs w:val="24"/>
        </w:rPr>
        <w:t>jük</w:t>
      </w:r>
      <w:r w:rsidR="008006AC" w:rsidRPr="007E723C">
        <w:rPr>
          <w:rFonts w:ascii="Georgia" w:hAnsi="Georgia" w:cs="Times New Roman"/>
          <w:sz w:val="24"/>
          <w:szCs w:val="24"/>
        </w:rPr>
        <w:t xml:space="preserve"> ki részletesebben </w:t>
      </w:r>
      <w:r w:rsidR="008006AC" w:rsidRPr="007E723C">
        <w:rPr>
          <w:rFonts w:ascii="Georgia" w:hAnsi="Georgia" w:cs="Times New Roman"/>
          <w:sz w:val="24"/>
          <w:szCs w:val="24"/>
        </w:rPr>
        <w:fldChar w:fldCharType="begin"/>
      </w:r>
      <w:r w:rsidR="008006AC" w:rsidRPr="007E723C">
        <w:rPr>
          <w:rFonts w:ascii="Georgia" w:hAnsi="Georgia" w:cs="Times New Roman"/>
          <w:sz w:val="24"/>
          <w:szCs w:val="24"/>
        </w:rPr>
        <w:instrText xml:space="preserve"> ADDIN ZOTERO_ITEM CSL_CITATION {"citationID":"FELmbpMC","properties":{"formattedCitation":"(Popescu \\uc0\\u233{}s mtsai., 2021)","plainCitation":"(Popescu és mtsai., 2021)","noteIndex":0},"citationItems":[{"id":293,"uris":["http://zotero.org/users/9445126/items/6CQ3DUQV"],"itemData":{"id":293,"type":"article-journal","abstract":"Investors increasingly demand that asset managers measure the non-financial performance of their investment portfolios. Amidst concerns of greenwashing, reliable sustainability assessment methods are needed to ensure that funds are channeled towards priority sectors for the transition to a low-carbon and more inclusive economy. This critical review provides a classification, analysis and evaluation of current sustainability measurement methods for investment funds from both industry and academia. The evaluation is based on a seven-criteria matrix, developed based on gaps identified in seminal academic works and in reports from international organizations. Following the evaluation, we find that carbon footprints and exposure metrics and environmental, social and governance (ESG) ratings, while widely used, have several shortcomings, failing to capture the real-world sustainability impact of investments. We suggest that open-source, science-based and sustainability-driven assessment methods are prioritized going forward. Methods can be upgraded by incorporating measurement of positive impact creation and by adopting a life cycle perspective. Given the need to anchor sustainability assessments in the reality, the compatibility of investment products with science-based targets for sustainable development should become a central element of reporting requirements. Finally, methods incorporating a forward-looking perspective, as well as an assessment of investor's additionality are scarce and should be given priority in future research. © 2021","container-title":"Journal of Cleaner Production","DOI":"10.1016/j.jclepro.2021.128016","title":"Measuring the sustainability of investment funds: A critical review of methods and frameworks in sustainable finance","URL":"https://www.scopus.com/inward/record.uri?eid=2-s2.0-85108886474&amp;doi=10.1016%2fj.jclepro.2021.128016&amp;partnerID=40&amp;md5=dcf22430872b56a463ccb5abed0a91b1","volume":"314","author":[{"family":"Popescu","given":"I.-S."},{"family":"Hitaj","given":"C."},{"family":"Benetto","given":"E."}],"issued":{"date-parts":[["2021"]]}}}],"schema":"https://github.com/citation-style-language/schema/raw/master/csl-citation.json"} </w:instrText>
      </w:r>
      <w:r w:rsidR="008006AC" w:rsidRPr="007E723C">
        <w:rPr>
          <w:rFonts w:ascii="Georgia" w:hAnsi="Georgia" w:cs="Times New Roman"/>
          <w:sz w:val="24"/>
          <w:szCs w:val="24"/>
        </w:rPr>
        <w:fldChar w:fldCharType="separate"/>
      </w:r>
      <w:r w:rsidR="008006AC" w:rsidRPr="007E723C">
        <w:rPr>
          <w:rFonts w:ascii="Georgia" w:hAnsi="Georgia" w:cs="Times New Roman"/>
          <w:sz w:val="24"/>
          <w:szCs w:val="24"/>
        </w:rPr>
        <w:t>(Popescu és mtsai., 2021)</w:t>
      </w:r>
      <w:r w:rsidR="008006AC" w:rsidRPr="007E723C">
        <w:rPr>
          <w:rFonts w:ascii="Georgia" w:hAnsi="Georgia" w:cs="Times New Roman"/>
          <w:sz w:val="24"/>
          <w:szCs w:val="24"/>
        </w:rPr>
        <w:fldChar w:fldCharType="end"/>
      </w:r>
      <w:r w:rsidR="008006AC" w:rsidRPr="007E723C">
        <w:rPr>
          <w:rFonts w:ascii="Georgia" w:hAnsi="Georgia" w:cs="Times New Roman"/>
          <w:sz w:val="24"/>
          <w:szCs w:val="24"/>
        </w:rPr>
        <w:t xml:space="preserve">. </w:t>
      </w:r>
      <w:r w:rsidR="00D8294F" w:rsidRPr="007E723C">
        <w:rPr>
          <w:rFonts w:ascii="Georgia" w:hAnsi="Georgia" w:cs="Times New Roman"/>
          <w:sz w:val="24"/>
          <w:szCs w:val="24"/>
        </w:rPr>
        <w:t xml:space="preserve"> </w:t>
      </w:r>
    </w:p>
    <w:p w14:paraId="41B27E83" w14:textId="0516EC7E" w:rsidR="002A18B0" w:rsidRPr="007E723C" w:rsidRDefault="002A18B0" w:rsidP="00E33332">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Mielőtt rátérnénk az ESG minősítéseket végző társaságok bemutatására és az általuk használt módszertan feltárására érdemes röviden kitérni arra</w:t>
      </w:r>
      <w:r w:rsidR="00E132FF" w:rsidRPr="007E723C">
        <w:rPr>
          <w:rFonts w:ascii="Georgia" w:hAnsi="Georgia" w:cs="Times New Roman"/>
          <w:sz w:val="24"/>
          <w:szCs w:val="24"/>
        </w:rPr>
        <w:t xml:space="preserve"> is</w:t>
      </w:r>
      <w:r w:rsidRPr="007E723C">
        <w:rPr>
          <w:rFonts w:ascii="Georgia" w:hAnsi="Georgia" w:cs="Times New Roman"/>
          <w:sz w:val="24"/>
          <w:szCs w:val="24"/>
        </w:rPr>
        <w:t xml:space="preserve">, hogy </w:t>
      </w:r>
      <w:r w:rsidRPr="007E723C">
        <w:rPr>
          <w:rFonts w:ascii="Georgia" w:hAnsi="Georgia" w:cs="Times New Roman"/>
          <w:sz w:val="24"/>
          <w:szCs w:val="24"/>
        </w:rPr>
        <w:lastRenderedPageBreak/>
        <w:t>tulajdonképpen milyen adatokra van szükség ahhoz, hogy egyáltalán el lehessen végezni a</w:t>
      </w:r>
      <w:r w:rsidR="00AD04C4" w:rsidRPr="007E723C">
        <w:rPr>
          <w:rFonts w:ascii="Georgia" w:hAnsi="Georgia" w:cs="Times New Roman"/>
          <w:sz w:val="24"/>
          <w:szCs w:val="24"/>
        </w:rPr>
        <w:t xml:space="preserve"> minősítéseket</w:t>
      </w:r>
      <w:r w:rsidRPr="007E723C">
        <w:rPr>
          <w:rFonts w:ascii="Georgia" w:hAnsi="Georgia" w:cs="Times New Roman"/>
          <w:sz w:val="24"/>
          <w:szCs w:val="24"/>
        </w:rPr>
        <w:t xml:space="preserve">. </w:t>
      </w:r>
      <w:r w:rsidR="00E3505C" w:rsidRPr="007E723C">
        <w:rPr>
          <w:rFonts w:ascii="Georgia" w:hAnsi="Georgia" w:cs="Times New Roman"/>
          <w:sz w:val="24"/>
          <w:szCs w:val="24"/>
        </w:rPr>
        <w:t xml:space="preserve">Ahogy azt már korábban is láthattuk, a nem pénzügyi </w:t>
      </w:r>
      <w:r w:rsidR="00F21710" w:rsidRPr="007E723C">
        <w:rPr>
          <w:rFonts w:ascii="Georgia" w:hAnsi="Georgia" w:cs="Times New Roman"/>
          <w:sz w:val="24"/>
          <w:szCs w:val="24"/>
        </w:rPr>
        <w:t>jelentéstételre</w:t>
      </w:r>
      <w:r w:rsidR="00E3505C" w:rsidRPr="007E723C">
        <w:rPr>
          <w:rFonts w:ascii="Georgia" w:hAnsi="Georgia" w:cs="Times New Roman"/>
          <w:sz w:val="24"/>
          <w:szCs w:val="24"/>
        </w:rPr>
        <w:t xml:space="preserve"> vonatkozó szabályozások terén egyelőre nincs egy globálisan elfogadott standard, amelyet a vállalatoknak</w:t>
      </w:r>
      <w:r w:rsidR="00F21710" w:rsidRPr="007E723C">
        <w:rPr>
          <w:rFonts w:ascii="Georgia" w:hAnsi="Georgia" w:cs="Times New Roman"/>
          <w:sz w:val="24"/>
          <w:szCs w:val="24"/>
        </w:rPr>
        <w:t xml:space="preserve"> kötelezően</w:t>
      </w:r>
      <w:r w:rsidR="00E3505C" w:rsidRPr="007E723C">
        <w:rPr>
          <w:rFonts w:ascii="Georgia" w:hAnsi="Georgia" w:cs="Times New Roman"/>
          <w:sz w:val="24"/>
          <w:szCs w:val="24"/>
        </w:rPr>
        <w:t xml:space="preserve"> alkalmazniuk </w:t>
      </w:r>
      <w:r w:rsidR="00F21710" w:rsidRPr="007E723C">
        <w:rPr>
          <w:rFonts w:ascii="Georgia" w:hAnsi="Georgia" w:cs="Times New Roman"/>
          <w:sz w:val="24"/>
          <w:szCs w:val="24"/>
        </w:rPr>
        <w:t>kellene</w:t>
      </w:r>
      <w:r w:rsidR="00E3505C" w:rsidRPr="007E723C">
        <w:rPr>
          <w:rFonts w:ascii="Georgia" w:hAnsi="Georgia" w:cs="Times New Roman"/>
          <w:sz w:val="24"/>
          <w:szCs w:val="24"/>
        </w:rPr>
        <w:t>, csupán különböző iránymutatások próbálnak keretet szabni a közzéteendő információk</w:t>
      </w:r>
      <w:r w:rsidR="00F21710" w:rsidRPr="007E723C">
        <w:rPr>
          <w:rFonts w:ascii="Georgia" w:hAnsi="Georgia" w:cs="Times New Roman"/>
          <w:sz w:val="24"/>
          <w:szCs w:val="24"/>
        </w:rPr>
        <w:t xml:space="preserve"> körének</w:t>
      </w:r>
      <w:r w:rsidR="00E3505C" w:rsidRPr="007E723C">
        <w:rPr>
          <w:rFonts w:ascii="Georgia" w:hAnsi="Georgia" w:cs="Times New Roman"/>
          <w:sz w:val="24"/>
          <w:szCs w:val="24"/>
        </w:rPr>
        <w:t>. Éppen ezért az ESG minősítések</w:t>
      </w:r>
      <w:r w:rsidR="00F21710" w:rsidRPr="007E723C">
        <w:rPr>
          <w:rFonts w:ascii="Georgia" w:hAnsi="Georgia" w:cs="Times New Roman"/>
          <w:sz w:val="24"/>
          <w:szCs w:val="24"/>
        </w:rPr>
        <w:t>hez</w:t>
      </w:r>
      <w:r w:rsidR="00E3505C" w:rsidRPr="007E723C">
        <w:rPr>
          <w:rFonts w:ascii="Georgia" w:hAnsi="Georgia" w:cs="Times New Roman"/>
          <w:sz w:val="24"/>
          <w:szCs w:val="24"/>
        </w:rPr>
        <w:t xml:space="preserve"> </w:t>
      </w:r>
      <w:r w:rsidR="00F21710" w:rsidRPr="007E723C">
        <w:rPr>
          <w:rFonts w:ascii="Georgia" w:hAnsi="Georgia" w:cs="Times New Roman"/>
          <w:sz w:val="24"/>
          <w:szCs w:val="24"/>
        </w:rPr>
        <w:t>szükséges</w:t>
      </w:r>
      <w:r w:rsidR="00E3505C" w:rsidRPr="007E723C">
        <w:rPr>
          <w:rFonts w:ascii="Georgia" w:hAnsi="Georgia" w:cs="Times New Roman"/>
          <w:sz w:val="24"/>
          <w:szCs w:val="24"/>
        </w:rPr>
        <w:t xml:space="preserve"> adatok is nagyon sokfélék lehetnek, </w:t>
      </w:r>
      <w:r w:rsidR="00F21710" w:rsidRPr="007E723C">
        <w:rPr>
          <w:rFonts w:ascii="Georgia" w:hAnsi="Georgia" w:cs="Times New Roman"/>
          <w:sz w:val="24"/>
          <w:szCs w:val="24"/>
        </w:rPr>
        <w:t xml:space="preserve">illetve </w:t>
      </w:r>
      <w:r w:rsidR="00E3505C" w:rsidRPr="007E723C">
        <w:rPr>
          <w:rFonts w:ascii="Georgia" w:hAnsi="Georgia" w:cs="Times New Roman"/>
          <w:sz w:val="24"/>
          <w:szCs w:val="24"/>
        </w:rPr>
        <w:t xml:space="preserve">eltérő forrásból </w:t>
      </w:r>
      <w:r w:rsidR="00F21710" w:rsidRPr="007E723C">
        <w:rPr>
          <w:rFonts w:ascii="Georgia" w:hAnsi="Georgia" w:cs="Times New Roman"/>
          <w:sz w:val="24"/>
          <w:szCs w:val="24"/>
        </w:rPr>
        <w:t xml:space="preserve">is </w:t>
      </w:r>
      <w:r w:rsidR="00E3505C" w:rsidRPr="007E723C">
        <w:rPr>
          <w:rFonts w:ascii="Georgia" w:hAnsi="Georgia" w:cs="Times New Roman"/>
          <w:sz w:val="24"/>
          <w:szCs w:val="24"/>
        </w:rPr>
        <w:t>származhatnak.</w:t>
      </w:r>
      <w:r w:rsidRPr="007E723C">
        <w:rPr>
          <w:rFonts w:ascii="Georgia" w:hAnsi="Georgia" w:cs="Times New Roman"/>
          <w:sz w:val="24"/>
          <w:szCs w:val="24"/>
        </w:rPr>
        <w:t xml:space="preserve"> </w:t>
      </w:r>
    </w:p>
    <w:p w14:paraId="71D4D853" w14:textId="2DACC7D4" w:rsidR="00F21710" w:rsidRPr="007E723C" w:rsidRDefault="00F21710" w:rsidP="009061EE">
      <w:pPr>
        <w:spacing w:line="360" w:lineRule="auto"/>
        <w:ind w:firstLine="652"/>
        <w:jc w:val="both"/>
        <w:rPr>
          <w:rFonts w:ascii="Georgia" w:hAnsi="Georgia" w:cs="Times New Roman"/>
          <w:sz w:val="24"/>
          <w:szCs w:val="24"/>
        </w:rPr>
      </w:pPr>
      <w:r w:rsidRPr="007E723C">
        <w:rPr>
          <w:rFonts w:ascii="Georgia" w:hAnsi="Georgia" w:cs="Times New Roman"/>
          <w:sz w:val="24"/>
          <w:szCs w:val="24"/>
        </w:rPr>
        <w:t xml:space="preserve">Nagy </w:t>
      </w:r>
      <w:r w:rsidR="00453CD6" w:rsidRPr="007E723C">
        <w:rPr>
          <w:rFonts w:ascii="Georgia" w:hAnsi="Georgia" w:cs="Times New Roman"/>
          <w:sz w:val="24"/>
          <w:szCs w:val="24"/>
        </w:rPr>
        <w:fldChar w:fldCharType="begin"/>
      </w:r>
      <w:r w:rsidR="00453CD6" w:rsidRPr="007E723C">
        <w:rPr>
          <w:rFonts w:ascii="Georgia" w:hAnsi="Georgia" w:cs="Times New Roman"/>
          <w:sz w:val="24"/>
          <w:szCs w:val="24"/>
        </w:rPr>
        <w:instrText xml:space="preserve"> ADDIN ZOTERO_ITEM CSL_CITATION {"citationID":"W4GmFDy6","properties":{"formattedCitation":"(2020)","plainCitation":"(2020)","noteIndex":0},"citationItems":[{"id":665,"uris":["http://zotero.org/users/9445126/items/9HSTWFT3"],"itemData":{"id":665,"type":"speech","event-place":"BÉT Kibocsátói Fórum","publisher-place":"BÉT Kibocsátói Fórum","title":"ESG: a miérttől a hogyanig","URL":"https://www.bet.hu/pfile/file?path=/site/Magyar/Dokumentumok/Rolunk/bet-campus/esg-szakmai-forum---07.16./MSCI_Nagy_Zoltan.pdf1","author":[{"family":"Nagy","given":"Zoltán"}],"issued":{"date-parts":[["2020"]]}},"label":"page","suppress-author":true}],"schema":"https://github.com/citation-style-language/schema/raw/master/csl-citation.json"} </w:instrText>
      </w:r>
      <w:r w:rsidR="00453CD6" w:rsidRPr="007E723C">
        <w:rPr>
          <w:rFonts w:ascii="Georgia" w:hAnsi="Georgia" w:cs="Times New Roman"/>
          <w:sz w:val="24"/>
          <w:szCs w:val="24"/>
        </w:rPr>
        <w:fldChar w:fldCharType="separate"/>
      </w:r>
      <w:r w:rsidR="00453CD6" w:rsidRPr="007E723C">
        <w:rPr>
          <w:rFonts w:ascii="Georgia" w:hAnsi="Georgia" w:cs="Times New Roman"/>
          <w:sz w:val="24"/>
          <w:szCs w:val="24"/>
        </w:rPr>
        <w:t>(2020)</w:t>
      </w:r>
      <w:r w:rsidR="00453CD6" w:rsidRPr="007E723C">
        <w:rPr>
          <w:rFonts w:ascii="Georgia" w:hAnsi="Georgia" w:cs="Times New Roman"/>
          <w:sz w:val="24"/>
          <w:szCs w:val="24"/>
        </w:rPr>
        <w:fldChar w:fldCharType="end"/>
      </w:r>
      <w:r w:rsidRPr="007E723C">
        <w:rPr>
          <w:rFonts w:ascii="Georgia" w:hAnsi="Georgia" w:cs="Times New Roman"/>
          <w:sz w:val="24"/>
          <w:szCs w:val="24"/>
        </w:rPr>
        <w:t xml:space="preserve"> szerint alapvetően 3 fő típusát lehet megkülönböztetni</w:t>
      </w:r>
      <w:r w:rsidR="00453CD6" w:rsidRPr="007E723C">
        <w:rPr>
          <w:rFonts w:ascii="Georgia" w:hAnsi="Georgia" w:cs="Times New Roman"/>
          <w:sz w:val="24"/>
          <w:szCs w:val="24"/>
        </w:rPr>
        <w:t xml:space="preserve"> az ESG adatoknak: </w:t>
      </w:r>
      <w:r w:rsidRPr="007E723C">
        <w:rPr>
          <w:rFonts w:ascii="Georgia" w:hAnsi="Georgia" w:cs="Times New Roman"/>
          <w:sz w:val="24"/>
          <w:szCs w:val="24"/>
        </w:rPr>
        <w:t xml:space="preserve">kötelezően nyilvánosságra hozandó adatok, önkéntes adatok, alternatív adatok. </w:t>
      </w:r>
      <w:r w:rsidR="00333382" w:rsidRPr="007E723C">
        <w:rPr>
          <w:rFonts w:ascii="Georgia" w:hAnsi="Georgia" w:cs="Times New Roman"/>
          <w:i/>
          <w:iCs/>
          <w:sz w:val="24"/>
          <w:szCs w:val="24"/>
        </w:rPr>
        <w:t>Kötelezően nyilvánosságra hozandó adatok</w:t>
      </w:r>
      <w:r w:rsidR="00333382" w:rsidRPr="007E723C">
        <w:rPr>
          <w:rFonts w:ascii="Georgia" w:hAnsi="Georgia" w:cs="Times New Roman"/>
          <w:sz w:val="24"/>
          <w:szCs w:val="24"/>
        </w:rPr>
        <w:t xml:space="preserve"> közé azok az információk, dokumentumok tartoznak, amelyeket az adott állam szabályozásainak értelmében kötelező rendszeresen közzétenni. Tipikusan ilyen</w:t>
      </w:r>
      <w:r w:rsidR="008E6EB7" w:rsidRPr="007E723C">
        <w:rPr>
          <w:rFonts w:ascii="Georgia" w:hAnsi="Georgia" w:cs="Times New Roman"/>
          <w:sz w:val="24"/>
          <w:szCs w:val="24"/>
        </w:rPr>
        <w:t>ek</w:t>
      </w:r>
      <w:r w:rsidR="00333382" w:rsidRPr="007E723C">
        <w:rPr>
          <w:rFonts w:ascii="Georgia" w:hAnsi="Georgia" w:cs="Times New Roman"/>
          <w:sz w:val="24"/>
          <w:szCs w:val="24"/>
        </w:rPr>
        <w:t xml:space="preserve"> például a meghatározott időközönként elkészítendő nyilvános pénzügyi beszámoló</w:t>
      </w:r>
      <w:r w:rsidR="008E6EB7" w:rsidRPr="007E723C">
        <w:rPr>
          <w:rFonts w:ascii="Georgia" w:hAnsi="Georgia" w:cs="Times New Roman"/>
          <w:sz w:val="24"/>
          <w:szCs w:val="24"/>
        </w:rPr>
        <w:t>ban szereplő információk</w:t>
      </w:r>
      <w:r w:rsidR="00333382" w:rsidRPr="007E723C">
        <w:rPr>
          <w:rFonts w:ascii="Georgia" w:hAnsi="Georgia" w:cs="Times New Roman"/>
          <w:sz w:val="24"/>
          <w:szCs w:val="24"/>
        </w:rPr>
        <w:t>. De ide tartozik az EU-s szabályozás értelmében</w:t>
      </w:r>
      <w:r w:rsidR="008E6EB7" w:rsidRPr="007E723C">
        <w:rPr>
          <w:rFonts w:ascii="Georgia" w:hAnsi="Georgia" w:cs="Times New Roman"/>
          <w:sz w:val="24"/>
          <w:szCs w:val="24"/>
        </w:rPr>
        <w:t xml:space="preserve"> a</w:t>
      </w:r>
      <w:r w:rsidR="00333382" w:rsidRPr="007E723C">
        <w:rPr>
          <w:rFonts w:ascii="Georgia" w:hAnsi="Georgia" w:cs="Times New Roman"/>
          <w:sz w:val="24"/>
          <w:szCs w:val="24"/>
        </w:rPr>
        <w:t xml:space="preserve"> fenntarthatósági jelentés is, melyet bizonyos közérdeklődésre számot tartó társaságoknak kötelező évről évre elkészíteni. </w:t>
      </w:r>
      <w:r w:rsidR="00333382" w:rsidRPr="007E723C">
        <w:rPr>
          <w:rFonts w:ascii="Georgia" w:hAnsi="Georgia" w:cs="Times New Roman"/>
          <w:i/>
          <w:iCs/>
          <w:sz w:val="24"/>
          <w:szCs w:val="24"/>
        </w:rPr>
        <w:t>Önkéntes adatoknak</w:t>
      </w:r>
      <w:r w:rsidR="00333382" w:rsidRPr="007E723C">
        <w:rPr>
          <w:rFonts w:ascii="Georgia" w:hAnsi="Georgia" w:cs="Times New Roman"/>
          <w:sz w:val="24"/>
          <w:szCs w:val="24"/>
        </w:rPr>
        <w:t xml:space="preserve"> tekinti Nagy</w:t>
      </w:r>
      <w:r w:rsidR="00BB57B1" w:rsidRPr="007E723C">
        <w:rPr>
          <w:rFonts w:ascii="Georgia" w:hAnsi="Georgia" w:cs="Times New Roman"/>
          <w:sz w:val="24"/>
          <w:szCs w:val="24"/>
        </w:rPr>
        <w:t xml:space="preserve"> </w:t>
      </w:r>
      <w:r w:rsidR="00BB57B1" w:rsidRPr="007E723C">
        <w:rPr>
          <w:rFonts w:ascii="Georgia" w:hAnsi="Georgia" w:cs="Times New Roman"/>
          <w:sz w:val="24"/>
          <w:szCs w:val="24"/>
        </w:rPr>
        <w:fldChar w:fldCharType="begin"/>
      </w:r>
      <w:r w:rsidR="00BB57B1" w:rsidRPr="007E723C">
        <w:rPr>
          <w:rFonts w:ascii="Georgia" w:hAnsi="Georgia" w:cs="Times New Roman"/>
          <w:sz w:val="24"/>
          <w:szCs w:val="24"/>
        </w:rPr>
        <w:instrText xml:space="preserve"> ADDIN ZOTERO_ITEM CSL_CITATION {"citationID":"xsYyiqSk","properties":{"formattedCitation":"(2020)","plainCitation":"(2020)","noteIndex":0},"citationItems":[{"id":665,"uris":["http://zotero.org/users/9445126/items/9HSTWFT3"],"itemData":{"id":665,"type":"speech","event-place":"BÉT Kibocsátói Fórum","publisher-place":"BÉT Kibocsátói Fórum","title":"ESG: a miérttől a hogyanig","URL":"https://www.bet.hu/pfile/file?path=/site/Magyar/Dokumentumok/Rolunk/bet-campus/esg-szakmai-forum---07.16./MSCI_Nagy_Zoltan.pdf1","author":[{"family":"Nagy","given":"Zoltán"}],"issued":{"date-parts":[["2020"]]}},"label":"page","suppress-author":true}],"schema":"https://github.com/citation-style-language/schema/raw/master/csl-citation.json"} </w:instrText>
      </w:r>
      <w:r w:rsidR="00BB57B1" w:rsidRPr="007E723C">
        <w:rPr>
          <w:rFonts w:ascii="Georgia" w:hAnsi="Georgia" w:cs="Times New Roman"/>
          <w:sz w:val="24"/>
          <w:szCs w:val="24"/>
        </w:rPr>
        <w:fldChar w:fldCharType="separate"/>
      </w:r>
      <w:r w:rsidR="00BB57B1" w:rsidRPr="007E723C">
        <w:rPr>
          <w:rFonts w:ascii="Georgia" w:hAnsi="Georgia" w:cs="Times New Roman"/>
          <w:sz w:val="24"/>
          <w:szCs w:val="24"/>
        </w:rPr>
        <w:t>(2020)</w:t>
      </w:r>
      <w:r w:rsidR="00BB57B1" w:rsidRPr="007E723C">
        <w:rPr>
          <w:rFonts w:ascii="Georgia" w:hAnsi="Georgia" w:cs="Times New Roman"/>
          <w:sz w:val="24"/>
          <w:szCs w:val="24"/>
        </w:rPr>
        <w:fldChar w:fldCharType="end"/>
      </w:r>
      <w:r w:rsidR="00333382" w:rsidRPr="007E723C">
        <w:rPr>
          <w:rFonts w:ascii="Georgia" w:hAnsi="Georgia" w:cs="Times New Roman"/>
          <w:sz w:val="24"/>
          <w:szCs w:val="24"/>
        </w:rPr>
        <w:t xml:space="preserve"> azokat az információkat, melyekre vonatkozóan nincs érvényeben semmilyen kötelező előírás, vagy jogszabályi kötelezettség, hanem a társaság önként </w:t>
      </w:r>
      <w:r w:rsidR="008E6EB7" w:rsidRPr="007E723C">
        <w:rPr>
          <w:rFonts w:ascii="Georgia" w:hAnsi="Georgia" w:cs="Times New Roman"/>
          <w:sz w:val="24"/>
          <w:szCs w:val="24"/>
        </w:rPr>
        <w:t xml:space="preserve">bocsátja </w:t>
      </w:r>
      <w:r w:rsidR="00333382" w:rsidRPr="007E723C">
        <w:rPr>
          <w:rFonts w:ascii="Georgia" w:hAnsi="Georgia" w:cs="Times New Roman"/>
          <w:sz w:val="24"/>
          <w:szCs w:val="24"/>
        </w:rPr>
        <w:t>rendelkezésre az adatait. Példaként azo</w:t>
      </w:r>
      <w:r w:rsidR="00690A3C" w:rsidRPr="007E723C">
        <w:rPr>
          <w:rFonts w:ascii="Georgia" w:hAnsi="Georgia" w:cs="Times New Roman"/>
          <w:sz w:val="24"/>
          <w:szCs w:val="24"/>
        </w:rPr>
        <w:t>n vállalatok nem pénzügyi jelentései tartozhatnak ide, akikre nem vonatkozik a fent említett EU-s rendelet, mégis önkéntes alapon elkészíti</w:t>
      </w:r>
      <w:r w:rsidR="008E6EB7" w:rsidRPr="007E723C">
        <w:rPr>
          <w:rFonts w:ascii="Georgia" w:hAnsi="Georgia" w:cs="Times New Roman"/>
          <w:sz w:val="24"/>
          <w:szCs w:val="24"/>
        </w:rPr>
        <w:t>k</w:t>
      </w:r>
      <w:r w:rsidR="00690A3C" w:rsidRPr="007E723C">
        <w:rPr>
          <w:rFonts w:ascii="Georgia" w:hAnsi="Georgia" w:cs="Times New Roman"/>
          <w:sz w:val="24"/>
          <w:szCs w:val="24"/>
        </w:rPr>
        <w:t xml:space="preserve"> a beszámolót. Emellett önkéntes adatszolgáltatásnak minősülhet az is, ha egy társaság egy kérdőíves felmérésnek eleget téve szolgáltat adatot fenntarthatósági teljesítményéről, mely információkat szintén fel lehet használni az ESG értékelésekhez. A kötelező és önkéntes adatokon túl </w:t>
      </w:r>
      <w:r w:rsidR="00690A3C" w:rsidRPr="007E723C">
        <w:rPr>
          <w:rFonts w:ascii="Georgia" w:hAnsi="Georgia" w:cs="Times New Roman"/>
          <w:i/>
          <w:iCs/>
          <w:sz w:val="24"/>
          <w:szCs w:val="24"/>
        </w:rPr>
        <w:t>alternatív forrásokból származó információkról</w:t>
      </w:r>
      <w:r w:rsidR="00690A3C" w:rsidRPr="007E723C">
        <w:rPr>
          <w:rFonts w:ascii="Georgia" w:hAnsi="Georgia" w:cs="Times New Roman"/>
          <w:sz w:val="24"/>
          <w:szCs w:val="24"/>
        </w:rPr>
        <w:t xml:space="preserve"> is beszélhetünk. </w:t>
      </w:r>
      <w:r w:rsidRPr="007E723C">
        <w:rPr>
          <w:rFonts w:ascii="Georgia" w:hAnsi="Georgia" w:cs="Times New Roman"/>
          <w:sz w:val="24"/>
          <w:szCs w:val="24"/>
        </w:rPr>
        <w:t>Az alternatív adatok közé olyan információk tartoznak, melyek a vállalattól független</w:t>
      </w:r>
      <w:r w:rsidR="00BB57B1" w:rsidRPr="007E723C">
        <w:rPr>
          <w:rFonts w:ascii="Georgia" w:hAnsi="Georgia" w:cs="Times New Roman"/>
          <w:sz w:val="24"/>
          <w:szCs w:val="24"/>
        </w:rPr>
        <w:t xml:space="preserve"> féltől</w:t>
      </w:r>
      <w:r w:rsidRPr="007E723C">
        <w:rPr>
          <w:rFonts w:ascii="Georgia" w:hAnsi="Georgia" w:cs="Times New Roman"/>
          <w:sz w:val="24"/>
          <w:szCs w:val="24"/>
        </w:rPr>
        <w:t>,</w:t>
      </w:r>
      <w:r w:rsidR="00690A3C" w:rsidRPr="007E723C">
        <w:rPr>
          <w:rFonts w:ascii="Georgia" w:hAnsi="Georgia" w:cs="Times New Roman"/>
          <w:sz w:val="24"/>
          <w:szCs w:val="24"/>
        </w:rPr>
        <w:t xml:space="preserve"> valamilyen</w:t>
      </w:r>
      <w:r w:rsidRPr="007E723C">
        <w:rPr>
          <w:rFonts w:ascii="Georgia" w:hAnsi="Georgia" w:cs="Times New Roman"/>
          <w:sz w:val="24"/>
          <w:szCs w:val="24"/>
        </w:rPr>
        <w:t xml:space="preserve"> külső </w:t>
      </w:r>
      <w:r w:rsidR="00BB57B1" w:rsidRPr="007E723C">
        <w:rPr>
          <w:rFonts w:ascii="Georgia" w:hAnsi="Georgia" w:cs="Times New Roman"/>
          <w:sz w:val="24"/>
          <w:szCs w:val="24"/>
        </w:rPr>
        <w:t>forrásból</w:t>
      </w:r>
      <w:r w:rsidRPr="007E723C">
        <w:rPr>
          <w:rFonts w:ascii="Georgia" w:hAnsi="Georgia" w:cs="Times New Roman"/>
          <w:sz w:val="24"/>
          <w:szCs w:val="24"/>
        </w:rPr>
        <w:t xml:space="preserve"> származnak.</w:t>
      </w:r>
      <w:r w:rsidR="00AD04C4" w:rsidRPr="007E723C">
        <w:rPr>
          <w:rFonts w:ascii="Georgia" w:hAnsi="Georgia" w:cs="Times New Roman"/>
          <w:sz w:val="24"/>
          <w:szCs w:val="24"/>
        </w:rPr>
        <w:t xml:space="preserve"> Ide többek között</w:t>
      </w:r>
      <w:r w:rsidRPr="007E723C">
        <w:rPr>
          <w:rFonts w:ascii="Georgia" w:hAnsi="Georgia" w:cs="Times New Roman"/>
          <w:sz w:val="24"/>
          <w:szCs w:val="24"/>
        </w:rPr>
        <w:t xml:space="preserve"> olyan kötelező alternatív adatok </w:t>
      </w:r>
      <w:r w:rsidR="00AD04C4" w:rsidRPr="007E723C">
        <w:rPr>
          <w:rFonts w:ascii="Georgia" w:hAnsi="Georgia" w:cs="Times New Roman"/>
          <w:sz w:val="24"/>
          <w:szCs w:val="24"/>
        </w:rPr>
        <w:t>sorolandóak</w:t>
      </w:r>
      <w:r w:rsidRPr="007E723C">
        <w:rPr>
          <w:rFonts w:ascii="Georgia" w:hAnsi="Georgia" w:cs="Times New Roman"/>
          <w:sz w:val="24"/>
          <w:szCs w:val="24"/>
        </w:rPr>
        <w:t>, mint a termékvisszahívásokról szóló nyilvántartás</w:t>
      </w:r>
      <w:r w:rsidR="001E5163" w:rsidRPr="007E723C">
        <w:rPr>
          <w:rFonts w:ascii="Georgia" w:hAnsi="Georgia" w:cs="Times New Roman"/>
          <w:sz w:val="24"/>
          <w:szCs w:val="24"/>
        </w:rPr>
        <w:t>ok</w:t>
      </w:r>
      <w:r w:rsidRPr="007E723C">
        <w:rPr>
          <w:rFonts w:ascii="Georgia" w:hAnsi="Georgia" w:cs="Times New Roman"/>
          <w:sz w:val="24"/>
          <w:szCs w:val="24"/>
        </w:rPr>
        <w:t>,</w:t>
      </w:r>
      <w:r w:rsidR="00BB57B1" w:rsidRPr="007E723C">
        <w:rPr>
          <w:rFonts w:ascii="Georgia" w:hAnsi="Georgia" w:cs="Times New Roman"/>
          <w:sz w:val="24"/>
          <w:szCs w:val="24"/>
        </w:rPr>
        <w:t xml:space="preserve"> bírságok</w:t>
      </w:r>
      <w:r w:rsidRPr="007E723C">
        <w:rPr>
          <w:rFonts w:ascii="Georgia" w:hAnsi="Georgia" w:cs="Times New Roman"/>
          <w:sz w:val="24"/>
          <w:szCs w:val="24"/>
        </w:rPr>
        <w:t xml:space="preserve"> vagy vevői panaszok. </w:t>
      </w:r>
      <w:r w:rsidR="00AD04C4" w:rsidRPr="007E723C">
        <w:rPr>
          <w:rFonts w:ascii="Georgia" w:hAnsi="Georgia" w:cs="Times New Roman"/>
          <w:sz w:val="24"/>
          <w:szCs w:val="24"/>
        </w:rPr>
        <w:t xml:space="preserve">De Nagy </w:t>
      </w:r>
      <w:r w:rsidR="00AD04C4" w:rsidRPr="007E723C">
        <w:rPr>
          <w:rFonts w:ascii="Georgia" w:hAnsi="Georgia" w:cs="Times New Roman"/>
          <w:sz w:val="24"/>
          <w:szCs w:val="24"/>
        </w:rPr>
        <w:fldChar w:fldCharType="begin"/>
      </w:r>
      <w:r w:rsidR="00AD04C4" w:rsidRPr="007E723C">
        <w:rPr>
          <w:rFonts w:ascii="Georgia" w:hAnsi="Georgia" w:cs="Times New Roman"/>
          <w:sz w:val="24"/>
          <w:szCs w:val="24"/>
        </w:rPr>
        <w:instrText xml:space="preserve"> ADDIN ZOTERO_ITEM CSL_CITATION {"citationID":"woBcte6M","properties":{"formattedCitation":"(2020)","plainCitation":"(2020)","noteIndex":0},"citationItems":[{"id":665,"uris":["http://zotero.org/users/9445126/items/9HSTWFT3"],"itemData":{"id":665,"type":"speech","event-place":"BÉT Kibocsátói Fórum","publisher-place":"BÉT Kibocsátói Fórum","title":"ESG: a miérttől a hogyanig","URL":"https://www.bet.hu/pfile/file?path=/site/Magyar/Dokumentumok/Rolunk/bet-campus/esg-szakmai-forum---07.16./MSCI_Nagy_Zoltan.pdf1","author":[{"family":"Nagy","given":"Zoltán"}],"issued":{"date-parts":[["2020"]]}},"label":"page","suppress-author":true}],"schema":"https://github.com/citation-style-language/schema/raw/master/csl-citation.json"} </w:instrText>
      </w:r>
      <w:r w:rsidR="00AD04C4" w:rsidRPr="007E723C">
        <w:rPr>
          <w:rFonts w:ascii="Georgia" w:hAnsi="Georgia" w:cs="Times New Roman"/>
          <w:sz w:val="24"/>
          <w:szCs w:val="24"/>
        </w:rPr>
        <w:fldChar w:fldCharType="separate"/>
      </w:r>
      <w:r w:rsidR="00AD04C4" w:rsidRPr="007E723C">
        <w:rPr>
          <w:rFonts w:ascii="Georgia" w:hAnsi="Georgia" w:cs="Times New Roman"/>
          <w:sz w:val="24"/>
          <w:szCs w:val="24"/>
        </w:rPr>
        <w:t>(2020)</w:t>
      </w:r>
      <w:r w:rsidR="00AD04C4" w:rsidRPr="007E723C">
        <w:rPr>
          <w:rFonts w:ascii="Georgia" w:hAnsi="Georgia" w:cs="Times New Roman"/>
          <w:sz w:val="24"/>
          <w:szCs w:val="24"/>
        </w:rPr>
        <w:fldChar w:fldCharType="end"/>
      </w:r>
      <w:r w:rsidR="00AD04C4" w:rsidRPr="007E723C">
        <w:rPr>
          <w:rFonts w:ascii="Georgia" w:hAnsi="Georgia" w:cs="Times New Roman"/>
          <w:sz w:val="24"/>
          <w:szCs w:val="24"/>
        </w:rPr>
        <w:t xml:space="preserve"> alternatív adatnak tekinti a </w:t>
      </w:r>
      <w:r w:rsidRPr="007E723C">
        <w:rPr>
          <w:rFonts w:ascii="Georgia" w:hAnsi="Georgia" w:cs="Times New Roman"/>
          <w:sz w:val="24"/>
          <w:szCs w:val="24"/>
        </w:rPr>
        <w:t>médiafelületek és hírportálok által közvetített információk</w:t>
      </w:r>
      <w:r w:rsidR="00AD04C4" w:rsidRPr="007E723C">
        <w:rPr>
          <w:rFonts w:ascii="Georgia" w:hAnsi="Georgia" w:cs="Times New Roman"/>
          <w:sz w:val="24"/>
          <w:szCs w:val="24"/>
        </w:rPr>
        <w:t>at is</w:t>
      </w:r>
      <w:r w:rsidRPr="007E723C">
        <w:rPr>
          <w:rFonts w:ascii="Georgia" w:hAnsi="Georgia" w:cs="Times New Roman"/>
          <w:sz w:val="24"/>
          <w:szCs w:val="24"/>
        </w:rPr>
        <w:t>. Értelemszerűen ide tartoznak</w:t>
      </w:r>
      <w:r w:rsidR="00AD04C4" w:rsidRPr="007E723C">
        <w:rPr>
          <w:rFonts w:ascii="Georgia" w:hAnsi="Georgia" w:cs="Times New Roman"/>
          <w:sz w:val="24"/>
          <w:szCs w:val="24"/>
        </w:rPr>
        <w:t xml:space="preserve"> még</w:t>
      </w:r>
      <w:r w:rsidRPr="007E723C">
        <w:rPr>
          <w:rFonts w:ascii="Georgia" w:hAnsi="Georgia" w:cs="Times New Roman"/>
          <w:sz w:val="24"/>
          <w:szCs w:val="24"/>
        </w:rPr>
        <w:t xml:space="preserve"> a vitatható incidensek</w:t>
      </w:r>
      <w:r w:rsidR="00BB57B1" w:rsidRPr="007E723C">
        <w:rPr>
          <w:rFonts w:ascii="Georgia" w:hAnsi="Georgia" w:cs="Times New Roman"/>
          <w:sz w:val="24"/>
          <w:szCs w:val="24"/>
        </w:rPr>
        <w:t>ről</w:t>
      </w:r>
      <w:r w:rsidRPr="007E723C">
        <w:rPr>
          <w:rFonts w:ascii="Georgia" w:hAnsi="Georgia" w:cs="Times New Roman"/>
          <w:sz w:val="24"/>
          <w:szCs w:val="24"/>
        </w:rPr>
        <w:t>, botrányok</w:t>
      </w:r>
      <w:r w:rsidR="00BB57B1" w:rsidRPr="007E723C">
        <w:rPr>
          <w:rFonts w:ascii="Georgia" w:hAnsi="Georgia" w:cs="Times New Roman"/>
          <w:sz w:val="24"/>
          <w:szCs w:val="24"/>
        </w:rPr>
        <w:t>ról szóló hírek</w:t>
      </w:r>
      <w:r w:rsidRPr="007E723C">
        <w:rPr>
          <w:rFonts w:ascii="Georgia" w:hAnsi="Georgia" w:cs="Times New Roman"/>
          <w:sz w:val="24"/>
          <w:szCs w:val="24"/>
        </w:rPr>
        <w:t>,</w:t>
      </w:r>
      <w:r w:rsidR="00BB57B1" w:rsidRPr="007E723C">
        <w:rPr>
          <w:rFonts w:ascii="Georgia" w:hAnsi="Georgia" w:cs="Times New Roman"/>
          <w:sz w:val="24"/>
          <w:szCs w:val="24"/>
        </w:rPr>
        <w:t xml:space="preserve"> illetve a</w:t>
      </w:r>
      <w:r w:rsidRPr="007E723C">
        <w:rPr>
          <w:rFonts w:ascii="Georgia" w:hAnsi="Georgia" w:cs="Times New Roman"/>
          <w:sz w:val="24"/>
          <w:szCs w:val="24"/>
        </w:rPr>
        <w:t xml:space="preserve"> vezetői szabálytalanságok, mulasztások is. </w:t>
      </w:r>
    </w:p>
    <w:p w14:paraId="30E55A0A" w14:textId="0A33A3E2" w:rsidR="001F5527" w:rsidRPr="007E723C" w:rsidRDefault="00585118" w:rsidP="001C55AD">
      <w:pPr>
        <w:spacing w:line="360" w:lineRule="auto"/>
        <w:ind w:firstLine="652"/>
        <w:jc w:val="both"/>
        <w:rPr>
          <w:rFonts w:ascii="Georgia" w:eastAsia="Times New Roman" w:hAnsi="Georgia" w:cs="Times New Roman"/>
          <w:sz w:val="24"/>
          <w:szCs w:val="24"/>
        </w:rPr>
      </w:pPr>
      <w:r w:rsidRPr="007E723C">
        <w:rPr>
          <w:rFonts w:ascii="Georgia" w:eastAsia="Times New Roman" w:hAnsi="Georgia" w:cs="Times New Roman"/>
          <w:sz w:val="24"/>
          <w:szCs w:val="24"/>
        </w:rPr>
        <w:lastRenderedPageBreak/>
        <w:t>A fent leírtakból is jól látszik</w:t>
      </w:r>
      <w:r w:rsidR="00664276" w:rsidRPr="007E723C">
        <w:rPr>
          <w:rFonts w:ascii="Georgia" w:eastAsia="Times New Roman" w:hAnsi="Georgia" w:cs="Times New Roman"/>
          <w:sz w:val="24"/>
          <w:szCs w:val="24"/>
        </w:rPr>
        <w:t>, hogy a vállalatok fenntarthatósággal kapcsolatos teljesítményének mérése, számszerűsítése a különböző</w:t>
      </w:r>
      <w:r w:rsidR="001F5527" w:rsidRPr="007E723C">
        <w:rPr>
          <w:rFonts w:ascii="Georgia" w:eastAsia="Times New Roman" w:hAnsi="Georgia" w:cs="Times New Roman"/>
          <w:sz w:val="24"/>
          <w:szCs w:val="24"/>
        </w:rPr>
        <w:t xml:space="preserve"> lehetséges</w:t>
      </w:r>
      <w:r w:rsidR="00664276" w:rsidRPr="007E723C">
        <w:rPr>
          <w:rFonts w:ascii="Georgia" w:eastAsia="Times New Roman" w:hAnsi="Georgia" w:cs="Times New Roman"/>
          <w:sz w:val="24"/>
          <w:szCs w:val="24"/>
        </w:rPr>
        <w:t xml:space="preserve"> magyarázó mutatószámok nagy száma miatt igencsak nehézkes. </w:t>
      </w:r>
      <w:r w:rsidR="001764AD" w:rsidRPr="007E723C">
        <w:rPr>
          <w:rFonts w:ascii="Georgia" w:eastAsia="Times New Roman" w:hAnsi="Georgia" w:cs="Times New Roman"/>
          <w:sz w:val="24"/>
          <w:szCs w:val="24"/>
        </w:rPr>
        <w:t xml:space="preserve">A rendelkezésre álló indexek, iránymutatások és a minősítő cégek által kínált ESG pontszámok mind azt a célt szolgálják, hogy segítsék a befektetők finanszírozási döntéshozatalát. Kérdés csupán az, hogy ezen mérőszámok közül melyiket érdemes alapul venni, melyik az, amely a legjobban le tudja írni a vállalatok fenntarthatósági teljesítményét. </w:t>
      </w:r>
      <w:r w:rsidR="005C0E45" w:rsidRPr="007E723C">
        <w:rPr>
          <w:rFonts w:ascii="Georgia" w:eastAsia="Times New Roman" w:hAnsi="Georgia" w:cs="Times New Roman"/>
          <w:sz w:val="24"/>
          <w:szCs w:val="24"/>
        </w:rPr>
        <w:t>A dolgozat következő szakaszában már csak az ESG minősítésekkel fogunk foglalkozni, hiszen kutatás</w:t>
      </w:r>
      <w:r w:rsidR="00DB529F">
        <w:rPr>
          <w:rFonts w:ascii="Georgia" w:eastAsia="Times New Roman" w:hAnsi="Georgia" w:cs="Times New Roman"/>
          <w:sz w:val="24"/>
          <w:szCs w:val="24"/>
        </w:rPr>
        <w:t>unk</w:t>
      </w:r>
      <w:r w:rsidR="005C0E45" w:rsidRPr="007E723C">
        <w:rPr>
          <w:rFonts w:ascii="Georgia" w:eastAsia="Times New Roman" w:hAnsi="Georgia" w:cs="Times New Roman"/>
          <w:sz w:val="24"/>
          <w:szCs w:val="24"/>
        </w:rPr>
        <w:t xml:space="preserve"> célja is az, hogy feltárj</w:t>
      </w:r>
      <w:r w:rsidR="00DB529F">
        <w:rPr>
          <w:rFonts w:ascii="Georgia" w:eastAsia="Times New Roman" w:hAnsi="Georgia" w:cs="Times New Roman"/>
          <w:sz w:val="24"/>
          <w:szCs w:val="24"/>
        </w:rPr>
        <w:t>uk</w:t>
      </w:r>
      <w:r w:rsidR="005C0E45" w:rsidRPr="007E723C">
        <w:rPr>
          <w:rFonts w:ascii="Georgia" w:eastAsia="Times New Roman" w:hAnsi="Georgia" w:cs="Times New Roman"/>
          <w:sz w:val="24"/>
          <w:szCs w:val="24"/>
        </w:rPr>
        <w:t xml:space="preserve">, </w:t>
      </w:r>
      <w:bookmarkStart w:id="19" w:name="_Hlk119854863"/>
      <w:r w:rsidR="005C0E45" w:rsidRPr="007E723C">
        <w:rPr>
          <w:rFonts w:ascii="Georgia" w:eastAsia="Times New Roman" w:hAnsi="Georgia" w:cs="Times New Roman"/>
          <w:sz w:val="24"/>
          <w:szCs w:val="24"/>
        </w:rPr>
        <w:t>mennyiben lehet támaszkodni a különböző adatszolgáltatóktól származó ESG pontszámokra</w:t>
      </w:r>
      <w:bookmarkEnd w:id="19"/>
      <w:r w:rsidR="005C0E45" w:rsidRPr="007E723C">
        <w:rPr>
          <w:rFonts w:ascii="Georgia" w:eastAsia="Times New Roman" w:hAnsi="Georgia" w:cs="Times New Roman"/>
          <w:sz w:val="24"/>
          <w:szCs w:val="24"/>
        </w:rPr>
        <w:t>. Mivel napjainkban az ESG minősítéseket jellemzően minősítő intézetek végzik, ezért a következő fejezetben a piac legmeghatározóbb szereplőit fogom bemutatni.</w:t>
      </w:r>
    </w:p>
    <w:p w14:paraId="6DE002D9" w14:textId="27EB5C7B" w:rsidR="00A72D04" w:rsidRPr="007E723C" w:rsidRDefault="00A72D04" w:rsidP="00FF7AC9">
      <w:pPr>
        <w:pStyle w:val="Cmsor2"/>
        <w:numPr>
          <w:ilvl w:val="1"/>
          <w:numId w:val="3"/>
        </w:numPr>
        <w:spacing w:after="160"/>
        <w:ind w:left="1134" w:hanging="578"/>
        <w:rPr>
          <w:rFonts w:ascii="Georgia" w:hAnsi="Georgia" w:cs="Times New Roman"/>
          <w:b/>
          <w:bCs/>
          <w:color w:val="auto"/>
          <w:sz w:val="24"/>
          <w:szCs w:val="24"/>
        </w:rPr>
      </w:pPr>
      <w:bookmarkStart w:id="20" w:name="_Toc119421178"/>
      <w:r w:rsidRPr="007E723C">
        <w:rPr>
          <w:rFonts w:ascii="Georgia" w:hAnsi="Georgia" w:cs="Times New Roman"/>
          <w:b/>
          <w:bCs/>
          <w:color w:val="auto"/>
          <w:sz w:val="24"/>
          <w:szCs w:val="24"/>
        </w:rPr>
        <w:t xml:space="preserve">Az ESG </w:t>
      </w:r>
      <w:r w:rsidR="009433A7" w:rsidRPr="007E723C">
        <w:rPr>
          <w:rFonts w:ascii="Georgia" w:hAnsi="Georgia" w:cs="Times New Roman"/>
          <w:b/>
          <w:bCs/>
          <w:color w:val="auto"/>
          <w:sz w:val="24"/>
          <w:szCs w:val="24"/>
        </w:rPr>
        <w:t>minősítést</w:t>
      </w:r>
      <w:r w:rsidRPr="007E723C">
        <w:rPr>
          <w:rFonts w:ascii="Georgia" w:hAnsi="Georgia" w:cs="Times New Roman"/>
          <w:b/>
          <w:bCs/>
          <w:color w:val="auto"/>
          <w:sz w:val="24"/>
          <w:szCs w:val="24"/>
        </w:rPr>
        <w:t xml:space="preserve"> végző </w:t>
      </w:r>
      <w:r w:rsidR="009433A7" w:rsidRPr="007E723C">
        <w:rPr>
          <w:rFonts w:ascii="Georgia" w:hAnsi="Georgia" w:cs="Times New Roman"/>
          <w:b/>
          <w:bCs/>
          <w:color w:val="auto"/>
          <w:sz w:val="24"/>
          <w:szCs w:val="24"/>
        </w:rPr>
        <w:t>intézetek bemutatása</w:t>
      </w:r>
      <w:bookmarkEnd w:id="20"/>
    </w:p>
    <w:p w14:paraId="20FE73F0" w14:textId="21EAC92D" w:rsidR="003847FB" w:rsidRPr="007E723C" w:rsidRDefault="003847FB" w:rsidP="000D561E">
      <w:pPr>
        <w:spacing w:line="360" w:lineRule="auto"/>
        <w:ind w:firstLine="709"/>
        <w:jc w:val="both"/>
        <w:rPr>
          <w:rFonts w:ascii="Georgia" w:hAnsi="Georgia" w:cs="Times New Roman"/>
          <w:sz w:val="24"/>
          <w:szCs w:val="24"/>
        </w:rPr>
      </w:pPr>
      <w:r w:rsidRPr="007E723C">
        <w:rPr>
          <w:rFonts w:ascii="Georgia" w:hAnsi="Georgia" w:cs="Times New Roman"/>
          <w:sz w:val="24"/>
          <w:szCs w:val="24"/>
        </w:rPr>
        <w:t>Az előző fejezet</w:t>
      </w:r>
      <w:r w:rsidR="000D561E" w:rsidRPr="007E723C">
        <w:rPr>
          <w:rFonts w:ascii="Georgia" w:hAnsi="Georgia" w:cs="Times New Roman"/>
          <w:sz w:val="24"/>
          <w:szCs w:val="24"/>
        </w:rPr>
        <w:t>ek</w:t>
      </w:r>
      <w:r w:rsidRPr="007E723C">
        <w:rPr>
          <w:rFonts w:ascii="Georgia" w:hAnsi="Georgia" w:cs="Times New Roman"/>
          <w:sz w:val="24"/>
          <w:szCs w:val="24"/>
        </w:rPr>
        <w:t xml:space="preserve">ben megismerkedtünk az ESG szempontrendszerével és láthattuk, hogy a vállalatok </w:t>
      </w:r>
      <w:r w:rsidR="000D561E" w:rsidRPr="007E723C">
        <w:rPr>
          <w:rFonts w:ascii="Georgia" w:hAnsi="Georgia" w:cs="Times New Roman"/>
          <w:sz w:val="24"/>
          <w:szCs w:val="24"/>
        </w:rPr>
        <w:t xml:space="preserve">fenntarthatósági </w:t>
      </w:r>
      <w:r w:rsidRPr="007E723C">
        <w:rPr>
          <w:rFonts w:ascii="Georgia" w:hAnsi="Georgia" w:cs="Times New Roman"/>
          <w:sz w:val="24"/>
          <w:szCs w:val="24"/>
        </w:rPr>
        <w:t>teljesítménye sokféleképpen mérhető. Ebben a fejezetben bemutatom azokat az ESG minősítést végző cégeket, akik a legmeghatározóbb szereplői a piacnak.</w:t>
      </w:r>
    </w:p>
    <w:p w14:paraId="25839E4B" w14:textId="76A2A402" w:rsidR="002F058F" w:rsidRPr="007E723C" w:rsidRDefault="003847FB" w:rsidP="00BB6DE5">
      <w:pPr>
        <w:spacing w:line="360" w:lineRule="auto"/>
        <w:ind w:firstLine="709"/>
        <w:jc w:val="both"/>
        <w:rPr>
          <w:rFonts w:ascii="Georgia" w:hAnsi="Georgia" w:cs="Times New Roman"/>
          <w:sz w:val="24"/>
          <w:szCs w:val="24"/>
        </w:rPr>
      </w:pPr>
      <w:r w:rsidRPr="007E723C">
        <w:rPr>
          <w:rFonts w:ascii="Georgia" w:hAnsi="Georgia" w:cs="Times New Roman"/>
          <w:sz w:val="24"/>
          <w:szCs w:val="24"/>
        </w:rPr>
        <w:t>Az ESG értékelő cégek olyan, jellem</w:t>
      </w:r>
      <w:r w:rsidR="005A18F6" w:rsidRPr="007E723C">
        <w:rPr>
          <w:rFonts w:ascii="Georgia" w:hAnsi="Georgia" w:cs="Times New Roman"/>
          <w:sz w:val="24"/>
          <w:szCs w:val="24"/>
        </w:rPr>
        <w:t>zően</w:t>
      </w:r>
      <w:r w:rsidRPr="007E723C">
        <w:rPr>
          <w:rFonts w:ascii="Georgia" w:hAnsi="Georgia" w:cs="Times New Roman"/>
          <w:sz w:val="24"/>
          <w:szCs w:val="24"/>
        </w:rPr>
        <w:t xml:space="preserve"> pénzügyi vállalkozások, amelyek más vállalatok környezeti, társadalmi és irányítási szempontok szerinti teljesítményét mérik és értékelik, annak érdekében, hogy meghatározzák a fenntarthatóságát.</w:t>
      </w:r>
      <w:r w:rsidR="002F058F" w:rsidRPr="007E723C">
        <w:rPr>
          <w:rFonts w:ascii="Georgia" w:hAnsi="Georgia" w:cs="Times New Roman"/>
          <w:sz w:val="24"/>
          <w:szCs w:val="24"/>
        </w:rPr>
        <w:t xml:space="preserve"> </w:t>
      </w:r>
      <w:r w:rsidR="00584FD2" w:rsidRPr="007E723C">
        <w:rPr>
          <w:rFonts w:ascii="Georgia" w:hAnsi="Georgia" w:cs="Times New Roman"/>
          <w:sz w:val="24"/>
          <w:szCs w:val="24"/>
        </w:rPr>
        <w:t xml:space="preserve"> A </w:t>
      </w:r>
      <w:r w:rsidR="002F058F" w:rsidRPr="007E723C">
        <w:rPr>
          <w:rFonts w:ascii="Georgia" w:hAnsi="Georgia" w:cs="Times New Roman"/>
          <w:sz w:val="24"/>
          <w:szCs w:val="24"/>
        </w:rPr>
        <w:t xml:space="preserve">minősítő cégek és a minősítendő vállalatok között különös kapcsolat húzódik. </w:t>
      </w:r>
      <w:r w:rsidR="00123AE6" w:rsidRPr="007E723C">
        <w:rPr>
          <w:rFonts w:ascii="Georgia" w:hAnsi="Georgia" w:cs="Times New Roman"/>
          <w:sz w:val="24"/>
          <w:szCs w:val="24"/>
        </w:rPr>
        <w:t>E</w:t>
      </w:r>
      <w:r w:rsidR="002F058F" w:rsidRPr="007E723C">
        <w:rPr>
          <w:rFonts w:ascii="Georgia" w:hAnsi="Georgia" w:cs="Times New Roman"/>
          <w:sz w:val="24"/>
          <w:szCs w:val="24"/>
        </w:rPr>
        <w:t>zek az ESG minősítések</w:t>
      </w:r>
      <w:r w:rsidR="00123AE6" w:rsidRPr="007E723C">
        <w:rPr>
          <w:rFonts w:ascii="Georgia" w:hAnsi="Georgia" w:cs="Times New Roman"/>
          <w:sz w:val="24"/>
          <w:szCs w:val="24"/>
        </w:rPr>
        <w:t xml:space="preserve"> ugyanis</w:t>
      </w:r>
      <w:r w:rsidR="002F058F" w:rsidRPr="007E723C">
        <w:rPr>
          <w:rFonts w:ascii="Georgia" w:hAnsi="Georgia" w:cs="Times New Roman"/>
          <w:sz w:val="24"/>
          <w:szCs w:val="24"/>
        </w:rPr>
        <w:t xml:space="preserve"> nem az adott vállalat kérésére készülnek, ezért nem is fizetnek érte</w:t>
      </w:r>
      <w:r w:rsidR="00584FD2" w:rsidRPr="007E723C">
        <w:rPr>
          <w:rFonts w:ascii="Georgia" w:hAnsi="Georgia" w:cs="Times New Roman"/>
          <w:sz w:val="24"/>
          <w:szCs w:val="24"/>
        </w:rPr>
        <w:t xml:space="preserve">. </w:t>
      </w:r>
      <w:r w:rsidR="002F058F" w:rsidRPr="007E723C">
        <w:rPr>
          <w:rFonts w:ascii="Georgia" w:hAnsi="Georgia" w:cs="Times New Roman"/>
          <w:sz w:val="24"/>
          <w:szCs w:val="24"/>
        </w:rPr>
        <w:t xml:space="preserve">A minősítés költségeit jellemzően azok a befektetők állják, akik </w:t>
      </w:r>
      <w:r w:rsidR="00D14C44" w:rsidRPr="007E723C">
        <w:rPr>
          <w:rFonts w:ascii="Georgia" w:hAnsi="Georgia" w:cs="Times New Roman"/>
          <w:sz w:val="24"/>
          <w:szCs w:val="24"/>
        </w:rPr>
        <w:t xml:space="preserve">finanszírozási döntéseikhez </w:t>
      </w:r>
      <w:r w:rsidR="002F058F" w:rsidRPr="007E723C">
        <w:rPr>
          <w:rFonts w:ascii="Georgia" w:hAnsi="Georgia" w:cs="Times New Roman"/>
          <w:sz w:val="24"/>
          <w:szCs w:val="24"/>
        </w:rPr>
        <w:t xml:space="preserve">felhasználják a </w:t>
      </w:r>
      <w:r w:rsidR="00440AB3" w:rsidRPr="007E723C">
        <w:rPr>
          <w:rFonts w:ascii="Georgia" w:hAnsi="Georgia" w:cs="Times New Roman"/>
          <w:sz w:val="24"/>
          <w:szCs w:val="24"/>
        </w:rPr>
        <w:t>minősítésekben</w:t>
      </w:r>
      <w:r w:rsidR="002F058F" w:rsidRPr="007E723C">
        <w:rPr>
          <w:rFonts w:ascii="Georgia" w:hAnsi="Georgia" w:cs="Times New Roman"/>
          <w:sz w:val="24"/>
          <w:szCs w:val="24"/>
        </w:rPr>
        <w:t xml:space="preserve"> lévő információkat.</w:t>
      </w:r>
      <w:r w:rsidR="00D14C44" w:rsidRPr="007E723C">
        <w:rPr>
          <w:rFonts w:ascii="Georgia" w:hAnsi="Georgia" w:cs="Times New Roman"/>
          <w:sz w:val="24"/>
          <w:szCs w:val="24"/>
        </w:rPr>
        <w:t xml:space="preserve"> Ez a fajta függetlenedés azért is előnyös, mert az értékelő cégek így objektívebb képet tudnak festeni az értékelt vállalat fenntarthatósági teljesítményéről, ami a befektetők számára is kedvez, hiszen így feltehetőleg megbízhatóbb információkhoz jutnak</w:t>
      </w:r>
      <w:r w:rsidR="00123AE6" w:rsidRPr="007E723C">
        <w:rPr>
          <w:rFonts w:ascii="Georgia" w:hAnsi="Georgia" w:cs="Times New Roman"/>
          <w:sz w:val="24"/>
          <w:szCs w:val="24"/>
        </w:rPr>
        <w:t>. Ezt a lehetséges pozitív hatást ellensúlyozza azonban az, hogy előfordulhat, hogy a minősítendő vállalatok nem szívesen adnak ki magukról bizonyos adatok, hiszen nem kérték, hogy értékeljék ők</w:t>
      </w:r>
      <w:r w:rsidR="00BB6DE5" w:rsidRPr="007E723C">
        <w:rPr>
          <w:rFonts w:ascii="Georgia" w:hAnsi="Georgia" w:cs="Times New Roman"/>
          <w:sz w:val="24"/>
          <w:szCs w:val="24"/>
        </w:rPr>
        <w:t>e</w:t>
      </w:r>
      <w:r w:rsidR="00123AE6" w:rsidRPr="007E723C">
        <w:rPr>
          <w:rFonts w:ascii="Georgia" w:hAnsi="Georgia" w:cs="Times New Roman"/>
          <w:sz w:val="24"/>
          <w:szCs w:val="24"/>
        </w:rPr>
        <w:t>t</w:t>
      </w:r>
      <w:r w:rsidR="00584FD2" w:rsidRPr="007E723C">
        <w:rPr>
          <w:rFonts w:ascii="Georgia" w:hAnsi="Georgia" w:cs="Times New Roman"/>
          <w:sz w:val="24"/>
          <w:szCs w:val="24"/>
        </w:rPr>
        <w:t>. Fontos</w:t>
      </w:r>
      <w:r w:rsidR="002F058F" w:rsidRPr="007E723C">
        <w:rPr>
          <w:rFonts w:ascii="Georgia" w:hAnsi="Georgia" w:cs="Times New Roman"/>
          <w:sz w:val="24"/>
          <w:szCs w:val="24"/>
        </w:rPr>
        <w:t xml:space="preserve"> azonban kiemel</w:t>
      </w:r>
      <w:r w:rsidR="00584FD2" w:rsidRPr="007E723C">
        <w:rPr>
          <w:rFonts w:ascii="Georgia" w:hAnsi="Georgia" w:cs="Times New Roman"/>
          <w:sz w:val="24"/>
          <w:szCs w:val="24"/>
        </w:rPr>
        <w:t>n</w:t>
      </w:r>
      <w:r w:rsidR="002F058F" w:rsidRPr="007E723C">
        <w:rPr>
          <w:rFonts w:ascii="Georgia" w:hAnsi="Georgia" w:cs="Times New Roman"/>
          <w:sz w:val="24"/>
          <w:szCs w:val="24"/>
        </w:rPr>
        <w:t xml:space="preserve">i azt is, hogy a „kéretlen” minősítések mellett vannak olyanok is, melyeknek az elkészítését a minősített vállalat valamilyen </w:t>
      </w:r>
      <w:r w:rsidR="002F058F" w:rsidRPr="007E723C">
        <w:rPr>
          <w:rFonts w:ascii="Georgia" w:hAnsi="Georgia" w:cs="Times New Roman"/>
          <w:sz w:val="24"/>
          <w:szCs w:val="24"/>
        </w:rPr>
        <w:lastRenderedPageBreak/>
        <w:t>szinten támogatja, vagyis hasznos adatokat, információkat szolgáltat, szükség esetén kérdőíveket tölt ki</w:t>
      </w:r>
      <w:r w:rsidR="00584FD2" w:rsidRPr="007E723C">
        <w:rPr>
          <w:rFonts w:ascii="Georgia" w:hAnsi="Georgia" w:cs="Times New Roman"/>
          <w:sz w:val="24"/>
          <w:szCs w:val="24"/>
        </w:rPr>
        <w:t xml:space="preserve"> </w:t>
      </w:r>
      <w:r w:rsidR="00584FD2" w:rsidRPr="007E723C">
        <w:rPr>
          <w:rFonts w:ascii="Georgia" w:hAnsi="Georgia" w:cs="Times New Roman"/>
          <w:sz w:val="24"/>
          <w:szCs w:val="24"/>
        </w:rPr>
        <w:fldChar w:fldCharType="begin"/>
      </w:r>
      <w:r w:rsidR="00584FD2" w:rsidRPr="007E723C">
        <w:rPr>
          <w:rFonts w:ascii="Georgia" w:hAnsi="Georgia" w:cs="Times New Roman"/>
          <w:sz w:val="24"/>
          <w:szCs w:val="24"/>
        </w:rPr>
        <w:instrText xml:space="preserve"> ADDIN ZOTERO_ITEM CSL_CITATION {"citationID":"8l0UNfv0","properties":{"formattedCitation":"(Drempetic \\uc0\\u233{}s mtsai., 2020)","plainCitation":"(Drempetic és mtsai., 2020)","noteIndex":0},"citationItems":[{"id":198,"uris":["http://zotero.org/users/9445126/items/TV9H7I49"],"itemData":{"id":198,"type":"article-journal","container-title":"Journal of Business Ethics","DOI":"10.1007/s10551-019-04164-1","title":"The Influence of Firm Size on the ESG Score: Corporate Sustainability Ratings Under Review","volume":"167","author":[{"family":"Drempetic","given":"Samuel"},{"family":"Klein","given":"Christian"},{"family":"Zwergel","given":"Bernhard"}],"issued":{"date-parts":[["2020",11]]}}}],"schema":"https://github.com/citation-style-language/schema/raw/master/csl-citation.json"} </w:instrText>
      </w:r>
      <w:r w:rsidR="00584FD2" w:rsidRPr="007E723C">
        <w:rPr>
          <w:rFonts w:ascii="Georgia" w:hAnsi="Georgia" w:cs="Times New Roman"/>
          <w:sz w:val="24"/>
          <w:szCs w:val="24"/>
        </w:rPr>
        <w:fldChar w:fldCharType="separate"/>
      </w:r>
      <w:r w:rsidR="00584FD2" w:rsidRPr="007E723C">
        <w:rPr>
          <w:rFonts w:ascii="Georgia" w:hAnsi="Georgia" w:cs="Times New Roman"/>
          <w:sz w:val="24"/>
          <w:szCs w:val="24"/>
        </w:rPr>
        <w:t>(Drempetic és mtsai., 2020)</w:t>
      </w:r>
      <w:r w:rsidR="00584FD2" w:rsidRPr="007E723C">
        <w:rPr>
          <w:rFonts w:ascii="Georgia" w:hAnsi="Georgia" w:cs="Times New Roman"/>
          <w:sz w:val="24"/>
          <w:szCs w:val="24"/>
        </w:rPr>
        <w:fldChar w:fldCharType="end"/>
      </w:r>
      <w:r w:rsidR="002F058F" w:rsidRPr="007E723C">
        <w:rPr>
          <w:rFonts w:ascii="Georgia" w:hAnsi="Georgia" w:cs="Times New Roman"/>
          <w:sz w:val="24"/>
          <w:szCs w:val="24"/>
        </w:rPr>
        <w:t>.</w:t>
      </w:r>
      <w:r w:rsidRPr="007E723C">
        <w:rPr>
          <w:rFonts w:ascii="Georgia" w:hAnsi="Georgia" w:cs="Times New Roman"/>
          <w:sz w:val="24"/>
          <w:szCs w:val="24"/>
        </w:rPr>
        <w:t xml:space="preserve"> </w:t>
      </w:r>
    </w:p>
    <w:p w14:paraId="3D9920B2" w14:textId="6989E032" w:rsidR="00533C21" w:rsidRDefault="00DA7E78" w:rsidP="00533C21">
      <w:pPr>
        <w:spacing w:line="360" w:lineRule="auto"/>
        <w:ind w:firstLine="709"/>
        <w:jc w:val="both"/>
        <w:rPr>
          <w:rFonts w:ascii="Georgia" w:hAnsi="Georgia" w:cs="Times New Roman"/>
          <w:sz w:val="24"/>
          <w:szCs w:val="24"/>
        </w:rPr>
      </w:pPr>
      <w:r w:rsidRPr="007E723C">
        <w:rPr>
          <w:rFonts w:ascii="Georgia" w:hAnsi="Georgia" w:cs="Times New Roman"/>
          <w:sz w:val="24"/>
          <w:szCs w:val="24"/>
        </w:rPr>
        <w:t>Az elmúlt 20 évben az ESG minősítést végzők piacán jelentős változások mentek végbe, a kisebb piaci szereplőket ugyanis felváltozzák az új ESG minősítő társaságok. Az igazi változást azonban az hozta, amikor ezek az új belépők egyesülni kezdtek, melynek köszönhetően meg tudták növelni kapacitásaikat, jobb platformokat dolgoztak ki és így szolgáltatásaikkal a vállalatok egy sokkal szélesebb körét tudták már ellátni.</w:t>
      </w:r>
      <w:r w:rsidR="00466F65" w:rsidRPr="007E723C">
        <w:rPr>
          <w:rFonts w:ascii="Georgia" w:hAnsi="Georgia" w:cs="Times New Roman"/>
          <w:sz w:val="24"/>
          <w:szCs w:val="24"/>
        </w:rPr>
        <w:t xml:space="preserve"> </w:t>
      </w:r>
      <w:r w:rsidR="00681E62" w:rsidRPr="007E723C">
        <w:rPr>
          <w:rFonts w:ascii="Georgia" w:hAnsi="Georgia" w:cs="Times New Roman"/>
          <w:sz w:val="24"/>
          <w:szCs w:val="24"/>
        </w:rPr>
        <w:t xml:space="preserve">Ezt a piaci átrendeződést mind a keresleti, mind a kínálati oldalról befolyásolták különböző tényezők. Egyrészt megjelent </w:t>
      </w:r>
      <w:r w:rsidR="001363D4" w:rsidRPr="007E723C">
        <w:rPr>
          <w:rFonts w:ascii="Georgia" w:hAnsi="Georgia" w:cs="Times New Roman"/>
          <w:sz w:val="24"/>
          <w:szCs w:val="24"/>
        </w:rPr>
        <w:t xml:space="preserve">a jövedelmezőség szükségessége, másrészt megváltozott az ESG minősítéseket felhasználó befektetők igénye is. Emellett a technológiai környezet fejlődésének köszönhetően egyre több adat vált elérhetővé, amelyek feldolgozásához fejlettebb rendszerekre, nagyobb kapacitásokra volt szükség. Ezen túlmenően megnövekedett az igény a nagyobb lefedettségre </w:t>
      </w:r>
      <w:r w:rsidR="00440AB3" w:rsidRPr="007E723C">
        <w:rPr>
          <w:rFonts w:ascii="Georgia" w:hAnsi="Georgia" w:cs="Times New Roman"/>
          <w:sz w:val="24"/>
          <w:szCs w:val="24"/>
        </w:rPr>
        <w:t xml:space="preserve">is </w:t>
      </w:r>
      <w:r w:rsidR="001363D4" w:rsidRPr="007E723C">
        <w:rPr>
          <w:rFonts w:ascii="Georgia" w:hAnsi="Georgia" w:cs="Times New Roman"/>
          <w:sz w:val="24"/>
          <w:szCs w:val="24"/>
        </w:rPr>
        <w:t xml:space="preserve">és egyre több portfolióvállalat jelent meg </w:t>
      </w:r>
      <w:r w:rsidR="00134DF5" w:rsidRPr="007E723C">
        <w:rPr>
          <w:rFonts w:ascii="Georgia" w:hAnsi="Georgia" w:cs="Times New Roman"/>
          <w:sz w:val="24"/>
          <w:szCs w:val="24"/>
        </w:rPr>
        <w:t xml:space="preserve">az ESG minősítések iránti igényével. Feltehetőleg ezek a faktorok további piaci változásokat, erőviszony átrendeződéseket fognak előidézni a jövőben </w:t>
      </w:r>
      <w:r w:rsidR="00134DF5" w:rsidRPr="007E723C">
        <w:rPr>
          <w:rFonts w:ascii="Georgia" w:hAnsi="Georgia" w:cs="Times New Roman"/>
          <w:sz w:val="24"/>
          <w:szCs w:val="24"/>
        </w:rPr>
        <w:fldChar w:fldCharType="begin"/>
      </w:r>
      <w:r w:rsidR="00134DF5" w:rsidRPr="007E723C">
        <w:rPr>
          <w:rFonts w:ascii="Georgia" w:hAnsi="Georgia" w:cs="Times New Roman"/>
          <w:sz w:val="24"/>
          <w:szCs w:val="24"/>
        </w:rPr>
        <w:instrText xml:space="preserve"> ADDIN ZOTERO_ITEM CSL_CITATION {"citationID":"IoFE07LS","properties":{"formattedCitation":"(Pagano \\uc0\\u233{}s mtsai., 2018)","plainCitation":"(Pagano és mtsai., 2018)","noteIndex":0},"citationItems":[{"id":100,"uris":["http://zotero.org/users/9445126/items/43CSXX47"],"itemData":{"id":100,"type":"book","archive":"Scopus®","ISBN":"978-1-78643-263-6","language":"English","note":"journalAbbreviation: Research Handbook of Finance and Sustainability\ncontainer-title: Research Handbook of Finance and Sustainability\n339","number-of-pages":"339-371","publisher":"Edward Elgar Publishing Ltd.","source":"EBSCOhost","title":"Understanding ESG ratings and ESG indexes","URL":"https://search.ebscohost.com/login.aspx?direct=true&amp;db=edselc&amp;AN=edselc.2-52.0-85069792049&amp;site=eds-live","author":[{"family":"Pagano","given":"M.S. ( 1 )"},{"family":"Sinclair","given":"G. ( 2 )"},{"family":"Yang","given":"T. ( 3 )"}],"issued":{"date-parts":[["2018"]],"season":"27"}}}],"schema":"https://github.com/citation-style-language/schema/raw/master/csl-citation.json"} </w:instrText>
      </w:r>
      <w:r w:rsidR="00134DF5" w:rsidRPr="007E723C">
        <w:rPr>
          <w:rFonts w:ascii="Georgia" w:hAnsi="Georgia" w:cs="Times New Roman"/>
          <w:sz w:val="24"/>
          <w:szCs w:val="24"/>
        </w:rPr>
        <w:fldChar w:fldCharType="separate"/>
      </w:r>
      <w:r w:rsidR="00134DF5" w:rsidRPr="007E723C">
        <w:rPr>
          <w:rFonts w:ascii="Georgia" w:hAnsi="Georgia" w:cs="Times New Roman"/>
          <w:sz w:val="24"/>
          <w:szCs w:val="24"/>
        </w:rPr>
        <w:t>(Pagano és mtsai., 2018)</w:t>
      </w:r>
      <w:r w:rsidR="00134DF5" w:rsidRPr="007E723C">
        <w:rPr>
          <w:rFonts w:ascii="Georgia" w:hAnsi="Georgia" w:cs="Times New Roman"/>
          <w:sz w:val="24"/>
          <w:szCs w:val="24"/>
        </w:rPr>
        <w:fldChar w:fldCharType="end"/>
      </w:r>
      <w:r w:rsidR="00134DF5" w:rsidRPr="007E723C">
        <w:rPr>
          <w:rFonts w:ascii="Georgia" w:hAnsi="Georgia" w:cs="Times New Roman"/>
          <w:sz w:val="24"/>
          <w:szCs w:val="24"/>
        </w:rPr>
        <w:t>.</w:t>
      </w:r>
    </w:p>
    <w:p w14:paraId="3FE23BDC" w14:textId="2B80975D" w:rsidR="000E7E55" w:rsidRDefault="008B6594" w:rsidP="000E7E55">
      <w:pPr>
        <w:spacing w:line="360" w:lineRule="auto"/>
        <w:ind w:firstLine="709"/>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88960" behindDoc="0" locked="0" layoutInCell="1" allowOverlap="1" wp14:anchorId="2929714E" wp14:editId="43666BC0">
            <wp:simplePos x="0" y="0"/>
            <wp:positionH relativeFrom="column">
              <wp:posOffset>6350</wp:posOffset>
            </wp:positionH>
            <wp:positionV relativeFrom="paragraph">
              <wp:posOffset>567055</wp:posOffset>
            </wp:positionV>
            <wp:extent cx="5399405" cy="2112645"/>
            <wp:effectExtent l="0" t="0" r="0" b="1905"/>
            <wp:wrapSquare wrapText="bothSides"/>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99405" cy="2112645"/>
                    </a:xfrm>
                    <a:prstGeom prst="rect">
                      <a:avLst/>
                    </a:prstGeom>
                  </pic:spPr>
                </pic:pic>
              </a:graphicData>
            </a:graphic>
            <wp14:sizeRelH relativeFrom="page">
              <wp14:pctWidth>0</wp14:pctWidth>
            </wp14:sizeRelH>
            <wp14:sizeRelV relativeFrom="page">
              <wp14:pctHeight>0</wp14:pctHeight>
            </wp14:sizeRelV>
          </wp:anchor>
        </w:drawing>
      </w:r>
      <w:r w:rsidR="000E7E55" w:rsidRPr="007E723C">
        <w:rPr>
          <w:rFonts w:ascii="Georgia" w:hAnsi="Georgia" w:cs="Times New Roman"/>
          <w:sz w:val="24"/>
          <w:szCs w:val="24"/>
        </w:rPr>
        <w:t xml:space="preserve">A </w:t>
      </w:r>
      <w:r w:rsidR="000F6B04">
        <w:rPr>
          <w:rFonts w:ascii="Georgia" w:hAnsi="Georgia" w:cs="Times New Roman"/>
          <w:sz w:val="24"/>
          <w:szCs w:val="24"/>
        </w:rPr>
        <w:t>következő</w:t>
      </w:r>
      <w:r w:rsidR="000E7E55">
        <w:rPr>
          <w:rFonts w:ascii="Georgia" w:hAnsi="Georgia" w:cs="Times New Roman"/>
          <w:sz w:val="24"/>
          <w:szCs w:val="24"/>
        </w:rPr>
        <w:t xml:space="preserve"> táblázat (2. táblázat) a </w:t>
      </w:r>
      <w:r w:rsidR="000E7E55" w:rsidRPr="007E723C">
        <w:rPr>
          <w:rFonts w:ascii="Georgia" w:hAnsi="Georgia" w:cs="Times New Roman"/>
          <w:sz w:val="24"/>
          <w:szCs w:val="24"/>
        </w:rPr>
        <w:t xml:space="preserve">legnépszerűbb ESG értékeléseket végző </w:t>
      </w:r>
      <w:r w:rsidR="000E7E55">
        <w:rPr>
          <w:rFonts w:ascii="Georgia" w:hAnsi="Georgia" w:cs="Times New Roman"/>
          <w:sz w:val="24"/>
          <w:szCs w:val="24"/>
        </w:rPr>
        <w:t>társaságok főbb ismérveit szemlélteti.</w:t>
      </w:r>
    </w:p>
    <w:p w14:paraId="66A57380" w14:textId="77777777" w:rsidR="00964907" w:rsidRPr="00476666" w:rsidRDefault="00964907"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xml:space="preserve">: Az ESG minősítő társaságok főbb ismérvei </w:t>
      </w:r>
    </w:p>
    <w:p w14:paraId="7D0E50A4" w14:textId="6D34D3F1" w:rsidR="00964907" w:rsidRPr="00476666" w:rsidRDefault="00964907" w:rsidP="000F6B04">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53A58CB7" w14:textId="24EEDB4A" w:rsidR="008504BF" w:rsidRPr="007E723C" w:rsidRDefault="008504BF" w:rsidP="00E84EEC">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Li és Polychronopoulos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{"citationID":"gFBlGygQ","properties":{"formattedCitation":"(2020)","plainCitation":"(2020)","noteIndex":0},"citationItems":[{"id":534,"uris":["http://zotero.org/users/9445126/items/I78GBVAH"],"itemData":{"id":534,"type":"article-journal","container-title":"Research Affiliates. https://www. researchaffiliates. com/documents/770-what-a-difference-an-esg-ratings-provider-makes. pdf","source":"Google Scholar","title":"What a difference an ESG ratings provider makes","author":[{"family":"Li","given":"Feifei"},{"family":"Polychronopoulos","given":"Ari"}],"issued":{"date-parts":[["2020"]]}},"label":"page","suppress-author":true}],"schema":"https://github.com/citation-style-language/schema/raw/master/csl-citation.json"}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(2020)</w:t>
      </w:r>
      <w:r w:rsidRPr="007E723C">
        <w:rPr>
          <w:rFonts w:ascii="Georgia" w:hAnsi="Georgia" w:cs="Times New Roman"/>
          <w:sz w:val="24"/>
          <w:szCs w:val="24"/>
        </w:rPr>
        <w:fldChar w:fldCharType="end"/>
      </w:r>
      <w:r w:rsidRPr="007E723C">
        <w:rPr>
          <w:rFonts w:ascii="Georgia" w:hAnsi="Georgia" w:cs="Times New Roman"/>
          <w:sz w:val="24"/>
          <w:szCs w:val="24"/>
        </w:rPr>
        <w:t xml:space="preserve"> három kategóriába sorolta az ESG minősítésekhez felhasznált adatokat abból a célból, hogy a befektetők jobban meg tudják érteni és el tudják különíteni a különböző típusú ESG minősítéseket.</w:t>
      </w:r>
    </w:p>
    <w:p w14:paraId="1BA001D9" w14:textId="77777777" w:rsidR="00E84EEC" w:rsidRPr="007E723C" w:rsidRDefault="008504BF" w:rsidP="008316FC">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lastRenderedPageBreak/>
        <w:t xml:space="preserve">Vannak úgynevezett alapvető („fundamental”) adatok, </w:t>
      </w:r>
      <w:r w:rsidR="004252BF" w:rsidRPr="007E723C">
        <w:rPr>
          <w:rFonts w:ascii="Georgia" w:hAnsi="Georgia" w:cs="Times New Roman"/>
          <w:sz w:val="24"/>
          <w:szCs w:val="24"/>
        </w:rPr>
        <w:t>melyeket az ebbe a kategóriába tartozó minősítő cégek gyűjtenek és aggregált formában közzé is tesznek. Ezek az adatokat tipikusan a vállalatok által kitöltött kérdőívek, vagy magáról a vállalatnak a weboldaláról származhatnak, tehát önkéntesen, önbevallás útján közzétett adatok. Ebben az esetben a minősítő cégek nem használnak különösebb módszertant és nem is kínálnak összesített ESG pontszámot a vállalatokról, csupán szisztematikus módon eljuttatják a felhasználókhoz az adatokat, akik kidolgozzák saját módszertanukat arra, hogy ezeket az információkat fel tudják használni. Ilyen ESG szolgáltató a Refinitiv és a Bloomberg is.</w:t>
      </w:r>
    </w:p>
    <w:p w14:paraId="7A5F5CE0" w14:textId="6A16DEBE" w:rsidR="008504BF" w:rsidRPr="007E723C" w:rsidRDefault="00E84EEC" w:rsidP="00DE5154">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Az átfogó („comprehensive”) adatok felhasználásával előállított minősítések alkotják Li és</w:t>
      </w:r>
      <w:r w:rsidR="004252BF" w:rsidRPr="007E723C">
        <w:rPr>
          <w:rFonts w:ascii="Georgia" w:hAnsi="Georgia" w:cs="Times New Roman"/>
          <w:sz w:val="24"/>
          <w:szCs w:val="24"/>
        </w:rPr>
        <w:t xml:space="preserve"> </w:t>
      </w:r>
      <w:r w:rsidRPr="007E723C">
        <w:rPr>
          <w:rFonts w:ascii="Georgia" w:hAnsi="Georgia" w:cs="Times New Roman"/>
          <w:sz w:val="24"/>
          <w:szCs w:val="24"/>
        </w:rPr>
        <w:t xml:space="preserve">Polychronopoulos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{"citationID":"Q0eJRSF3","properties":{"formattedCitation":"(2020)","plainCitation":"(2020)","noteIndex":0},"citationItems":[{"id":534,"uris":["http://zotero.org/users/9445126/items/I78GBVAH"],"itemData":{"id":534,"type":"article-journal","container-title":"Research Affiliates. https://www. researchaffiliates. com/documents/770-what-a-difference-an-esg-ratings-provider-makes. pdf","source":"Google Scholar","title":"What a difference an ESG ratings provider makes","author":[{"family":"Li","given":"Feifei"},{"family":"Polychronopoulos","given":"Ari"}],"issued":{"date-parts":[["2020"]]}},"label":"page","suppress-author":true}],"schema":"https://github.com/citation-style-language/schema/raw/master/csl-citation.json"}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(2020)</w:t>
      </w:r>
      <w:r w:rsidRPr="007E723C">
        <w:rPr>
          <w:rFonts w:ascii="Georgia" w:hAnsi="Georgia" w:cs="Times New Roman"/>
          <w:sz w:val="24"/>
          <w:szCs w:val="24"/>
        </w:rPr>
        <w:fldChar w:fldCharType="end"/>
      </w:r>
      <w:r w:rsidRPr="007E723C">
        <w:rPr>
          <w:rFonts w:ascii="Georgia" w:hAnsi="Georgia" w:cs="Times New Roman"/>
          <w:sz w:val="24"/>
          <w:szCs w:val="24"/>
        </w:rPr>
        <w:t xml:space="preserve"> meglátása szerint a második csoportot. Az ide sorolható minősítő cégek mind objektív, mind szubjektív inputokat felhasználva igyekeznek lefedni az ESG piac minden szegmensét. Ez azt jelenti, hogy ezek a minősítő cégek jellemzően rendelkeznek olyan jól kidolgozott értékelési módszertannal, amelynek segítségével mind a </w:t>
      </w:r>
      <w:r w:rsidR="008316FC" w:rsidRPr="007E723C">
        <w:rPr>
          <w:rFonts w:ascii="Georgia" w:hAnsi="Georgia" w:cs="Times New Roman"/>
          <w:sz w:val="24"/>
          <w:szCs w:val="24"/>
        </w:rPr>
        <w:t xml:space="preserve">nyilvánosan elérhető adatokat, mind a saját elemzőik által feltárt adatokat fel tudják használni az értékeléshez. A minősítés során pedig több száz különböző mérőszámot használnak, melyekkel a vállalatok környezeti, társadalmi és vállalatirányítási gyakorlatát fel tudják mérni és végül egy szisztematikus metodika mentén meghatározzák a vállalatok összesített ESG pontszámát. Ilyen ESG minősítő cégnek számít az MSCI és a Sustainalytics is. </w:t>
      </w:r>
    </w:p>
    <w:p w14:paraId="0A6C1C02" w14:textId="609EC410" w:rsidR="008316FC" w:rsidRPr="007E723C" w:rsidRDefault="009F0FA7" w:rsidP="008316FC">
      <w:pPr>
        <w:spacing w:line="360" w:lineRule="auto"/>
        <w:ind w:firstLine="709"/>
        <w:jc w:val="both"/>
        <w:rPr>
          <w:rFonts w:ascii="Georgia" w:hAnsi="Georgia" w:cs="Times New Roman"/>
          <w:sz w:val="24"/>
          <w:szCs w:val="24"/>
        </w:rPr>
      </w:pPr>
      <w:r w:rsidRPr="007E723C">
        <w:rPr>
          <w:rFonts w:ascii="Georgia" w:hAnsi="Georgia" w:cs="Times New Roman"/>
          <w:sz w:val="24"/>
          <w:szCs w:val="24"/>
        </w:rPr>
        <w:t>A harmadik kategóriát azok a ESG minősítők alkotják, akik az ESG valamilyen speciális területére vonatkozóan (karbon kibocsátás, emberi jogok, nemi sokszínűség) nyújtanak szolgáltatásokat. Mivel ezek a minősítők bizonyos területen magas szintű szakértelemmel rendelkeznek, ezért ezek a minősítések azok a befektetőknek lehetnek hasznosak, akik</w:t>
      </w:r>
      <w:r w:rsidR="00DE5154" w:rsidRPr="007E723C">
        <w:rPr>
          <w:rFonts w:ascii="Georgia" w:hAnsi="Georgia" w:cs="Times New Roman"/>
          <w:sz w:val="24"/>
          <w:szCs w:val="24"/>
        </w:rPr>
        <w:t xml:space="preserve"> kimondottan egy bizonyos problémát szeretnének kezelni és javítani az adott ESG területen.</w:t>
      </w:r>
      <w:r w:rsidRPr="007E723C">
        <w:rPr>
          <w:rFonts w:ascii="Georgia" w:hAnsi="Georgia" w:cs="Times New Roman"/>
          <w:sz w:val="24"/>
          <w:szCs w:val="24"/>
        </w:rPr>
        <w:t xml:space="preserve"> Tipikusan</w:t>
      </w:r>
      <w:r w:rsidR="00DE5154" w:rsidRPr="007E723C">
        <w:rPr>
          <w:rFonts w:ascii="Georgia" w:hAnsi="Georgia" w:cs="Times New Roman"/>
          <w:sz w:val="24"/>
          <w:szCs w:val="24"/>
        </w:rPr>
        <w:t xml:space="preserve"> </w:t>
      </w:r>
      <w:r w:rsidRPr="007E723C">
        <w:rPr>
          <w:rFonts w:ascii="Georgia" w:hAnsi="Georgia" w:cs="Times New Roman"/>
          <w:sz w:val="24"/>
          <w:szCs w:val="24"/>
        </w:rPr>
        <w:t>ilyen</w:t>
      </w:r>
      <w:r w:rsidR="00DE5154" w:rsidRPr="007E723C">
        <w:rPr>
          <w:rFonts w:ascii="Georgia" w:hAnsi="Georgia" w:cs="Times New Roman"/>
          <w:sz w:val="24"/>
          <w:szCs w:val="24"/>
        </w:rPr>
        <w:t xml:space="preserve"> ESG szolgáltató</w:t>
      </w:r>
      <w:r w:rsidRPr="007E723C">
        <w:rPr>
          <w:rFonts w:ascii="Georgia" w:hAnsi="Georgia" w:cs="Times New Roman"/>
          <w:sz w:val="24"/>
          <w:szCs w:val="24"/>
        </w:rPr>
        <w:t xml:space="preserve"> a korábban külön kiemelt CDP is</w:t>
      </w:r>
      <w:r w:rsidR="00DE5154" w:rsidRPr="007E723C">
        <w:rPr>
          <w:rFonts w:ascii="Georgia" w:hAnsi="Georgia" w:cs="Times New Roman"/>
          <w:sz w:val="24"/>
          <w:szCs w:val="24"/>
        </w:rPr>
        <w:t>.</w:t>
      </w:r>
    </w:p>
    <w:p w14:paraId="1EAB9A95" w14:textId="05A00CB0" w:rsidR="00E9557F" w:rsidRPr="007E723C" w:rsidRDefault="00584FD2" w:rsidP="00533C21">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Douglas  és munkatársai </w:t>
      </w:r>
      <w:r w:rsidRPr="007E723C">
        <w:rPr>
          <w:rFonts w:ascii="Georgia" w:hAnsi="Georgia" w:cs="Times New Roman"/>
          <w:sz w:val="24"/>
          <w:szCs w:val="24"/>
        </w:rPr>
        <w:fldChar w:fldCharType="begin"/>
      </w:r>
      <w:r w:rsidR="00C12ED6" w:rsidRPr="007E723C">
        <w:rPr>
          <w:rFonts w:ascii="Georgia" w:hAnsi="Georgia" w:cs="Times New Roman"/>
          <w:sz w:val="24"/>
          <w:szCs w:val="24"/>
        </w:rPr>
        <w:instrText xml:space="preserve"> ADDIN ZOTERO_ITEM CSL_CITATION {"citationID":"UXjlh6Of","properties":{"formattedCitation":"(2017)","plainCitation":"(2017)","noteIndex":0},"citationItems":[{"id":545,"uris":["http://zotero.org/users/9445126/items/MZIUCDP8"],"itemData":{"id":545,"type":"article-journal","container-title":"Journal of Environmental Investing","issue":"1","page":"91–114","source":"Google Scholar","title":"Responsible investing: Guide to ESG data providers and relevant trends","title-short":"Responsible investing","volume":"8","author":[{"family":"Douglas","given":"Elyse"},{"family":"Van Holt","given":"Tracy"},{"family":"Whelan","given":"Tensie"}],"issued":{"date-parts":[["2017"]]}},"label":"page","suppress-author":true}],"schema":"https://github.com/citation-style-language/schema/raw/master/csl-citation.json"} </w:instrText>
      </w:r>
      <w:r w:rsidRPr="007E723C">
        <w:rPr>
          <w:rFonts w:ascii="Georgia" w:hAnsi="Georgia" w:cs="Times New Roman"/>
          <w:sz w:val="24"/>
          <w:szCs w:val="24"/>
        </w:rPr>
        <w:fldChar w:fldCharType="separate"/>
      </w:r>
      <w:r w:rsidR="00C12ED6" w:rsidRPr="007E723C">
        <w:rPr>
          <w:rFonts w:ascii="Georgia" w:hAnsi="Georgia" w:cs="Times New Roman"/>
          <w:sz w:val="24"/>
          <w:szCs w:val="24"/>
        </w:rPr>
        <w:t>(2017)</w:t>
      </w:r>
      <w:r w:rsidRPr="007E723C">
        <w:rPr>
          <w:rFonts w:ascii="Georgia" w:hAnsi="Georgia" w:cs="Times New Roman"/>
          <w:sz w:val="24"/>
          <w:szCs w:val="24"/>
        </w:rPr>
        <w:fldChar w:fldCharType="end"/>
      </w:r>
      <w:r w:rsidR="004252BF" w:rsidRPr="007E723C">
        <w:rPr>
          <w:rFonts w:ascii="Georgia" w:hAnsi="Georgia" w:cs="Times New Roman"/>
          <w:sz w:val="24"/>
          <w:szCs w:val="24"/>
        </w:rPr>
        <w:t xml:space="preserve"> is kísérletet tett</w:t>
      </w:r>
      <w:r w:rsidR="00C12ED6" w:rsidRPr="007E723C">
        <w:rPr>
          <w:rFonts w:ascii="Georgia" w:hAnsi="Georgia" w:cs="Times New Roman"/>
          <w:sz w:val="24"/>
          <w:szCs w:val="24"/>
        </w:rPr>
        <w:t>ek</w:t>
      </w:r>
      <w:r w:rsidR="004252BF" w:rsidRPr="007E723C">
        <w:rPr>
          <w:rFonts w:ascii="Georgia" w:hAnsi="Georgia" w:cs="Times New Roman"/>
          <w:sz w:val="24"/>
          <w:szCs w:val="24"/>
        </w:rPr>
        <w:t xml:space="preserve"> arra, hogy kategorizálj</w:t>
      </w:r>
      <w:r w:rsidR="00C12ED6" w:rsidRPr="007E723C">
        <w:rPr>
          <w:rFonts w:ascii="Georgia" w:hAnsi="Georgia" w:cs="Times New Roman"/>
          <w:sz w:val="24"/>
          <w:szCs w:val="24"/>
        </w:rPr>
        <w:t>ák</w:t>
      </w:r>
      <w:r w:rsidR="004252BF" w:rsidRPr="007E723C">
        <w:rPr>
          <w:rFonts w:ascii="Georgia" w:hAnsi="Georgia" w:cs="Times New Roman"/>
          <w:sz w:val="24"/>
          <w:szCs w:val="24"/>
        </w:rPr>
        <w:t xml:space="preserve"> a minősítő cégeket. Meglátásuk </w:t>
      </w:r>
      <w:r w:rsidR="00E9557F" w:rsidRPr="007E723C">
        <w:rPr>
          <w:rFonts w:ascii="Georgia" w:hAnsi="Georgia" w:cs="Times New Roman"/>
          <w:sz w:val="24"/>
          <w:szCs w:val="24"/>
        </w:rPr>
        <w:t>szerint 3 fő csoport</w:t>
      </w:r>
      <w:r w:rsidR="004252BF" w:rsidRPr="007E723C">
        <w:rPr>
          <w:rFonts w:ascii="Georgia" w:hAnsi="Georgia" w:cs="Times New Roman"/>
          <w:sz w:val="24"/>
          <w:szCs w:val="24"/>
        </w:rPr>
        <w:t>ot lehet alkot</w:t>
      </w:r>
      <w:r w:rsidR="00E9557F" w:rsidRPr="007E723C">
        <w:rPr>
          <w:rFonts w:ascii="Georgia" w:hAnsi="Georgia" w:cs="Times New Roman"/>
          <w:sz w:val="24"/>
          <w:szCs w:val="24"/>
        </w:rPr>
        <w:t>ni a piacon elérhető ESG minősítéssel foglalkozó cégek</w:t>
      </w:r>
      <w:r w:rsidR="004252BF" w:rsidRPr="007E723C">
        <w:rPr>
          <w:rFonts w:ascii="Georgia" w:hAnsi="Georgia" w:cs="Times New Roman"/>
          <w:sz w:val="24"/>
          <w:szCs w:val="24"/>
        </w:rPr>
        <w:t>ből</w:t>
      </w:r>
      <w:r w:rsidR="00E9557F" w:rsidRPr="007E723C">
        <w:rPr>
          <w:rFonts w:ascii="Georgia" w:hAnsi="Georgia" w:cs="Times New Roman"/>
          <w:sz w:val="24"/>
          <w:szCs w:val="24"/>
        </w:rPr>
        <w:t xml:space="preserve">. A </w:t>
      </w:r>
      <w:r w:rsidR="00E9557F" w:rsidRPr="007E723C">
        <w:rPr>
          <w:rFonts w:ascii="Georgia" w:hAnsi="Georgia" w:cs="Times New Roman"/>
          <w:i/>
          <w:iCs/>
          <w:sz w:val="24"/>
          <w:szCs w:val="24"/>
        </w:rPr>
        <w:t>piaci adatszolgáltatók</w:t>
      </w:r>
      <w:r w:rsidR="00E9557F" w:rsidRPr="007E723C">
        <w:rPr>
          <w:rFonts w:ascii="Georgia" w:hAnsi="Georgia" w:cs="Times New Roman"/>
          <w:sz w:val="24"/>
          <w:szCs w:val="24"/>
        </w:rPr>
        <w:t xml:space="preserve"> azok a cégek, akik nem csak ESG minősítések kiadásával foglalkoznak, hanem létrehoztak különböző ESG indexeket is, amelyekről fentebb is írtam már. </w:t>
      </w:r>
      <w:r w:rsidR="00E9557F" w:rsidRPr="007E723C">
        <w:rPr>
          <w:rFonts w:ascii="Georgia" w:hAnsi="Georgia" w:cs="Times New Roman"/>
          <w:sz w:val="24"/>
          <w:szCs w:val="24"/>
        </w:rPr>
        <w:lastRenderedPageBreak/>
        <w:t xml:space="preserve">Számukra tehát </w:t>
      </w:r>
      <w:r w:rsidR="00FC7750" w:rsidRPr="007E723C">
        <w:rPr>
          <w:rFonts w:ascii="Georgia" w:hAnsi="Georgia" w:cs="Times New Roman"/>
          <w:sz w:val="24"/>
          <w:szCs w:val="24"/>
        </w:rPr>
        <w:t>az ESG pontszámok csupán másodlagos terméknek számítanak.</w:t>
      </w:r>
      <w:r w:rsidR="00E9557F" w:rsidRPr="007E723C">
        <w:rPr>
          <w:rFonts w:ascii="Georgia" w:hAnsi="Georgia" w:cs="Times New Roman"/>
          <w:sz w:val="24"/>
          <w:szCs w:val="24"/>
        </w:rPr>
        <w:t xml:space="preserve"> Ebbe a kategóriába sorolandó az MSCI, a Thomson Reuters</w:t>
      </w:r>
      <w:r w:rsidR="005441A9" w:rsidRPr="007E723C">
        <w:rPr>
          <w:rFonts w:ascii="Georgia" w:hAnsi="Georgia" w:cs="Times New Roman"/>
          <w:sz w:val="24"/>
          <w:szCs w:val="24"/>
        </w:rPr>
        <w:t xml:space="preserve"> (ma már Refinitiv)</w:t>
      </w:r>
      <w:r w:rsidR="00E9557F" w:rsidRPr="007E723C">
        <w:rPr>
          <w:rFonts w:ascii="Georgia" w:hAnsi="Georgia" w:cs="Times New Roman"/>
          <w:sz w:val="24"/>
          <w:szCs w:val="24"/>
        </w:rPr>
        <w:t xml:space="preserve"> és az FTSE Russe</w:t>
      </w:r>
      <w:r w:rsidR="005441A9" w:rsidRPr="007E723C">
        <w:rPr>
          <w:rFonts w:ascii="Georgia" w:hAnsi="Georgia" w:cs="Times New Roman"/>
          <w:sz w:val="24"/>
          <w:szCs w:val="24"/>
        </w:rPr>
        <w:t>l</w:t>
      </w:r>
      <w:r w:rsidR="00E9557F" w:rsidRPr="007E723C">
        <w:rPr>
          <w:rFonts w:ascii="Georgia" w:hAnsi="Georgia" w:cs="Times New Roman"/>
          <w:sz w:val="24"/>
          <w:szCs w:val="24"/>
        </w:rPr>
        <w:t xml:space="preserve">l is. </w:t>
      </w:r>
      <w:r w:rsidR="00E9557F" w:rsidRPr="007E723C">
        <w:rPr>
          <w:rFonts w:ascii="Georgia" w:hAnsi="Georgia" w:cs="Times New Roman"/>
          <w:i/>
          <w:iCs/>
          <w:sz w:val="24"/>
          <w:szCs w:val="24"/>
        </w:rPr>
        <w:t>ESG-exkluzív adatszolgáltatók</w:t>
      </w:r>
      <w:r w:rsidR="00E9557F" w:rsidRPr="007E723C">
        <w:rPr>
          <w:rFonts w:ascii="Georgia" w:hAnsi="Georgia" w:cs="Times New Roman"/>
          <w:sz w:val="24"/>
          <w:szCs w:val="24"/>
        </w:rPr>
        <w:t xml:space="preserve"> azok, akik csak és kizárólag kutatásra és </w:t>
      </w:r>
      <w:r w:rsidR="00FC7750" w:rsidRPr="007E723C">
        <w:rPr>
          <w:rFonts w:ascii="Georgia" w:hAnsi="Georgia" w:cs="Times New Roman"/>
          <w:sz w:val="24"/>
          <w:szCs w:val="24"/>
        </w:rPr>
        <w:t xml:space="preserve">ESG </w:t>
      </w:r>
      <w:r w:rsidR="00E9557F" w:rsidRPr="007E723C">
        <w:rPr>
          <w:rFonts w:ascii="Georgia" w:hAnsi="Georgia" w:cs="Times New Roman"/>
          <w:sz w:val="24"/>
          <w:szCs w:val="24"/>
        </w:rPr>
        <w:t>minősítésre fókuszálnak</w:t>
      </w:r>
      <w:r w:rsidR="00FC7750" w:rsidRPr="007E723C">
        <w:rPr>
          <w:rFonts w:ascii="Georgia" w:hAnsi="Georgia" w:cs="Times New Roman"/>
          <w:sz w:val="24"/>
          <w:szCs w:val="24"/>
        </w:rPr>
        <w:t>. Ide tartozik többek között a Sustainalytics és a RobecoSAM</w:t>
      </w:r>
      <w:r w:rsidR="005441A9" w:rsidRPr="007E723C">
        <w:rPr>
          <w:rFonts w:ascii="Georgia" w:hAnsi="Georgia" w:cs="Times New Roman"/>
          <w:sz w:val="24"/>
          <w:szCs w:val="24"/>
        </w:rPr>
        <w:t xml:space="preserve"> (ma már S&amp;P)</w:t>
      </w:r>
      <w:r w:rsidR="00FC7750" w:rsidRPr="007E723C">
        <w:rPr>
          <w:rFonts w:ascii="Georgia" w:hAnsi="Georgia" w:cs="Times New Roman"/>
          <w:sz w:val="24"/>
          <w:szCs w:val="24"/>
        </w:rPr>
        <w:t xml:space="preserve"> is. </w:t>
      </w:r>
      <w:r w:rsidR="00FC7750" w:rsidRPr="007E723C">
        <w:rPr>
          <w:rFonts w:ascii="Georgia" w:hAnsi="Georgia" w:cs="Times New Roman"/>
          <w:i/>
          <w:iCs/>
          <w:sz w:val="24"/>
          <w:szCs w:val="24"/>
        </w:rPr>
        <w:t>Szakosodott adatszolgáltatókról</w:t>
      </w:r>
      <w:r w:rsidR="00FC7750" w:rsidRPr="007E723C">
        <w:rPr>
          <w:rFonts w:ascii="Georgia" w:hAnsi="Georgia" w:cs="Times New Roman"/>
          <w:sz w:val="24"/>
          <w:szCs w:val="24"/>
        </w:rPr>
        <w:t xml:space="preserve"> beszélünk akkor, ha az adott cég a teljes ESG-n belül csak egy kisebb területtel, például a klímakockázattal foglalkozik. Ezek a cégek jellemzően együttműködnek a fenti kategóriákba tartozó nagyobb adatszolgáltatókkal. Ilyen speciális minősítő a CDP és az ISS is.</w:t>
      </w:r>
    </w:p>
    <w:p w14:paraId="6EBEB82A" w14:textId="737822E1" w:rsidR="005441A9" w:rsidRPr="007E723C" w:rsidRDefault="00510D64" w:rsidP="00533C21">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fenti rövid ismertetőből is jól látszik, hogy a piacon számos minősítő </w:t>
      </w:r>
      <w:r w:rsidR="00A94FAC" w:rsidRPr="007E723C">
        <w:rPr>
          <w:rFonts w:ascii="Georgia" w:hAnsi="Georgia" w:cs="Times New Roman"/>
          <w:sz w:val="24"/>
          <w:szCs w:val="24"/>
        </w:rPr>
        <w:t>cég tevékenykedik, így a befektetők is többféle ESG pontszámhoz férhetnek hozzá. A minősítők kategorizálása azonban rámutat arra, hogy ezek a szolgáltatások messze nem tekinthetők ekvivalensnek, hiszen egy-egy minősítő teljesen más adatokból dolgozik. Nem véletlen, hogy egyre többet hallani arról, hogy ezek az ESG minősítések nem feltétlen tekinthetők megbízható információnak. A következő fejezetben az ESG minősítések megbízhatóságával kapcsolatos aggályokat ismertetem.</w:t>
      </w:r>
    </w:p>
    <w:p w14:paraId="50B1A249" w14:textId="19CBFD49" w:rsidR="004C7D3A" w:rsidRPr="007E723C" w:rsidRDefault="004C7D3A" w:rsidP="00FF7AC9">
      <w:pPr>
        <w:pStyle w:val="Cmsor2"/>
        <w:numPr>
          <w:ilvl w:val="1"/>
          <w:numId w:val="3"/>
        </w:numPr>
        <w:spacing w:after="160"/>
        <w:ind w:left="1134" w:hanging="578"/>
        <w:rPr>
          <w:rFonts w:ascii="Georgia" w:hAnsi="Georgia" w:cs="Times New Roman"/>
          <w:b/>
          <w:bCs/>
          <w:color w:val="auto"/>
          <w:sz w:val="24"/>
          <w:szCs w:val="24"/>
        </w:rPr>
      </w:pPr>
      <w:bookmarkStart w:id="21" w:name="_Toc119421179"/>
      <w:r w:rsidRPr="007E723C">
        <w:rPr>
          <w:rFonts w:ascii="Georgia" w:hAnsi="Georgia" w:cs="Times New Roman"/>
          <w:b/>
          <w:bCs/>
          <w:color w:val="auto"/>
          <w:sz w:val="24"/>
          <w:szCs w:val="24"/>
        </w:rPr>
        <w:t>A</w:t>
      </w:r>
      <w:r w:rsidR="009433A7" w:rsidRPr="007E723C">
        <w:rPr>
          <w:rFonts w:ascii="Georgia" w:hAnsi="Georgia" w:cs="Times New Roman"/>
          <w:b/>
          <w:bCs/>
          <w:color w:val="auto"/>
          <w:sz w:val="24"/>
          <w:szCs w:val="24"/>
        </w:rPr>
        <w:t xml:space="preserve">z ESG </w:t>
      </w:r>
      <w:r w:rsidRPr="007E723C">
        <w:rPr>
          <w:rFonts w:ascii="Georgia" w:hAnsi="Georgia" w:cs="Times New Roman"/>
          <w:b/>
          <w:bCs/>
          <w:color w:val="auto"/>
          <w:sz w:val="24"/>
          <w:szCs w:val="24"/>
        </w:rPr>
        <w:t>minősítések megbízhatósága</w:t>
      </w:r>
      <w:bookmarkEnd w:id="21"/>
    </w:p>
    <w:p w14:paraId="3F98196C" w14:textId="40C71A4A" w:rsidR="009F0FA7" w:rsidRPr="007E723C" w:rsidRDefault="003847FB" w:rsidP="004A0817">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előző fejezet nagyon jól szemléleti, hogy ha csak a piacon elérhető minősítő cégek </w:t>
      </w:r>
      <w:r w:rsidR="000D469F" w:rsidRPr="007E723C">
        <w:rPr>
          <w:rFonts w:ascii="Georgia" w:hAnsi="Georgia" w:cs="Times New Roman"/>
          <w:sz w:val="24"/>
          <w:szCs w:val="24"/>
        </w:rPr>
        <w:t>számát</w:t>
      </w:r>
      <w:r w:rsidR="00C12ED6" w:rsidRPr="007E723C">
        <w:rPr>
          <w:rFonts w:ascii="Georgia" w:hAnsi="Georgia" w:cs="Times New Roman"/>
          <w:sz w:val="24"/>
          <w:szCs w:val="24"/>
        </w:rPr>
        <w:t>, illetve</w:t>
      </w:r>
      <w:r w:rsidR="000D469F" w:rsidRPr="007E723C">
        <w:rPr>
          <w:rFonts w:ascii="Georgia" w:hAnsi="Georgia" w:cs="Times New Roman"/>
          <w:sz w:val="24"/>
          <w:szCs w:val="24"/>
        </w:rPr>
        <w:t xml:space="preserve"> </w:t>
      </w:r>
      <w:r w:rsidRPr="007E723C">
        <w:rPr>
          <w:rFonts w:ascii="Georgia" w:hAnsi="Georgia" w:cs="Times New Roman"/>
          <w:sz w:val="24"/>
          <w:szCs w:val="24"/>
        </w:rPr>
        <w:t>szolgáltatásai</w:t>
      </w:r>
      <w:r w:rsidR="000D469F" w:rsidRPr="007E723C">
        <w:rPr>
          <w:rFonts w:ascii="Georgia" w:hAnsi="Georgia" w:cs="Times New Roman"/>
          <w:sz w:val="24"/>
          <w:szCs w:val="24"/>
        </w:rPr>
        <w:t>knak széles körét</w:t>
      </w:r>
      <w:r w:rsidRPr="007E723C">
        <w:rPr>
          <w:rFonts w:ascii="Georgia" w:hAnsi="Georgia" w:cs="Times New Roman"/>
          <w:sz w:val="24"/>
          <w:szCs w:val="24"/>
        </w:rPr>
        <w:t xml:space="preserve"> vesszük alapul, akkor is jól </w:t>
      </w:r>
      <w:r w:rsidR="00056EF5" w:rsidRPr="007E723C">
        <w:rPr>
          <w:rFonts w:ascii="Georgia" w:hAnsi="Georgia" w:cs="Times New Roman"/>
          <w:sz w:val="24"/>
          <w:szCs w:val="24"/>
        </w:rPr>
        <w:t>észrevehető</w:t>
      </w:r>
      <w:r w:rsidRPr="007E723C">
        <w:rPr>
          <w:rFonts w:ascii="Georgia" w:hAnsi="Georgia" w:cs="Times New Roman"/>
          <w:sz w:val="24"/>
          <w:szCs w:val="24"/>
        </w:rPr>
        <w:t>, hogy több ponto</w:t>
      </w:r>
      <w:r w:rsidR="005A18F6" w:rsidRPr="007E723C">
        <w:rPr>
          <w:rFonts w:ascii="Georgia" w:hAnsi="Georgia" w:cs="Times New Roman"/>
          <w:sz w:val="24"/>
          <w:szCs w:val="24"/>
        </w:rPr>
        <w:t>n</w:t>
      </w:r>
      <w:r w:rsidRPr="007E723C">
        <w:rPr>
          <w:rFonts w:ascii="Georgia" w:hAnsi="Georgia" w:cs="Times New Roman"/>
          <w:sz w:val="24"/>
          <w:szCs w:val="24"/>
        </w:rPr>
        <w:t xml:space="preserve"> is eltér</w:t>
      </w:r>
      <w:r w:rsidR="00056EF5" w:rsidRPr="007E723C">
        <w:rPr>
          <w:rFonts w:ascii="Georgia" w:hAnsi="Georgia" w:cs="Times New Roman"/>
          <w:sz w:val="24"/>
          <w:szCs w:val="24"/>
        </w:rPr>
        <w:t>het</w:t>
      </w:r>
      <w:r w:rsidRPr="007E723C">
        <w:rPr>
          <w:rFonts w:ascii="Georgia" w:hAnsi="Georgia" w:cs="Times New Roman"/>
          <w:sz w:val="24"/>
          <w:szCs w:val="24"/>
        </w:rPr>
        <w:t>nek egymástól az ESG teljesítményre vonatkozó eredmények. Ez pedig egyfajta bizonytalanságot kelt az információ felhasználói</w:t>
      </w:r>
      <w:r w:rsidR="005A18F6" w:rsidRPr="007E723C">
        <w:rPr>
          <w:rFonts w:ascii="Georgia" w:hAnsi="Georgia" w:cs="Times New Roman"/>
          <w:sz w:val="24"/>
          <w:szCs w:val="24"/>
        </w:rPr>
        <w:t>ban</w:t>
      </w:r>
      <w:r w:rsidRPr="007E723C">
        <w:rPr>
          <w:rFonts w:ascii="Georgia" w:hAnsi="Georgia" w:cs="Times New Roman"/>
          <w:sz w:val="24"/>
          <w:szCs w:val="24"/>
        </w:rPr>
        <w:t xml:space="preserve">, hiszen a sokféle értékelés között nehéz eligazodni. </w:t>
      </w:r>
      <w:r w:rsidR="005A3CDD" w:rsidRPr="007E723C">
        <w:rPr>
          <w:rFonts w:ascii="Georgia" w:hAnsi="Georgia" w:cs="Times New Roman"/>
          <w:sz w:val="24"/>
          <w:szCs w:val="24"/>
        </w:rPr>
        <w:t>Ha csak a minősítők által alkalmazott eltérő módszertanra gondolunk, akkor is nyilvánvaló</w:t>
      </w:r>
      <w:r w:rsidR="00A94FAC" w:rsidRPr="007E723C">
        <w:rPr>
          <w:rFonts w:ascii="Georgia" w:hAnsi="Georgia" w:cs="Times New Roman"/>
          <w:sz w:val="24"/>
          <w:szCs w:val="24"/>
        </w:rPr>
        <w:t>,</w:t>
      </w:r>
      <w:r w:rsidR="005A3CDD" w:rsidRPr="007E723C">
        <w:rPr>
          <w:rFonts w:ascii="Georgia" w:hAnsi="Georgia" w:cs="Times New Roman"/>
          <w:sz w:val="24"/>
          <w:szCs w:val="24"/>
        </w:rPr>
        <w:t xml:space="preserve"> hogy</w:t>
      </w:r>
      <w:r w:rsidRPr="007E723C">
        <w:rPr>
          <w:rFonts w:ascii="Georgia" w:hAnsi="Georgia" w:cs="Times New Roman"/>
          <w:sz w:val="24"/>
          <w:szCs w:val="24"/>
        </w:rPr>
        <w:t xml:space="preserve"> az eltérő </w:t>
      </w:r>
      <w:r w:rsidR="005A3CDD" w:rsidRPr="007E723C">
        <w:rPr>
          <w:rFonts w:ascii="Georgia" w:hAnsi="Georgia" w:cs="Times New Roman"/>
          <w:sz w:val="24"/>
          <w:szCs w:val="24"/>
        </w:rPr>
        <w:t>módon</w:t>
      </w:r>
      <w:r w:rsidRPr="007E723C">
        <w:rPr>
          <w:rFonts w:ascii="Georgia" w:hAnsi="Georgia" w:cs="Times New Roman"/>
          <w:sz w:val="24"/>
          <w:szCs w:val="24"/>
        </w:rPr>
        <w:t xml:space="preserve"> kikalkulált pontszámokat egyszerűen nem lehet jól összehasonlítani, ami nem utolsó sorban a befektetési döntések meghozatalára is negatív hatással van</w:t>
      </w:r>
      <w:r w:rsidR="00995F80" w:rsidRPr="007E723C">
        <w:rPr>
          <w:rFonts w:ascii="Georgia" w:hAnsi="Georgia" w:cs="Times New Roman"/>
          <w:sz w:val="24"/>
          <w:szCs w:val="24"/>
        </w:rPr>
        <w:t xml:space="preserve"> </w:t>
      </w:r>
      <w:r w:rsidR="00995F80" w:rsidRPr="007E723C">
        <w:rPr>
          <w:rFonts w:ascii="Georgia" w:hAnsi="Georgia" w:cs="Times New Roman"/>
          <w:sz w:val="24"/>
          <w:szCs w:val="24"/>
        </w:rPr>
        <w:fldChar w:fldCharType="begin"/>
      </w:r>
      <w:r w:rsidR="00995F80" w:rsidRPr="007E723C">
        <w:rPr>
          <w:rFonts w:ascii="Georgia" w:hAnsi="Georgia" w:cs="Times New Roman"/>
          <w:sz w:val="24"/>
          <w:szCs w:val="24"/>
        </w:rPr>
        <w:instrText xml:space="preserve"> ADDIN ZOTERO_ITEM CSL_CITATION {"citationID":"NWF2NiSZ","properties":{"formattedCitation":"(Gy\\uc0\\u246{}ny\\uc0\\u246{}rov\\uc0\\u225{} \\uc0\\u233{}s mtsai., 2021)","plainCitation":"(Gyönyörová és mtsai., 2021)","noteIndex":0},"citationItems":[{"id":355,"uris":["http://zotero.org/users/9445126/items/BUCA8QNF"],"itemData":{"id":355,"type":"article-journal","abstract":"Environmental, social, and corporate governance (ESG) scores are frequently involved in investment-related decision-making, e.g. for red-flagging or to manage risks. The increasing interest in ESG data raises the question about their validity from various sources. Therefore, we explore the consistency and convergent validity of the well recognized ESG data providers. Exploratory factor analysis of S&amp;P Global 1200 index demonstrates considerable uncertainty across extracted latent factors. Further factor analyses show that the consistency and convergent validity across ESG data significantly depend on the industry type and the country of domicile. These findings are supported by confirmatory factor analyses. Thus, the stakeholders are encouraged to incorporate the company sector and domicile aspects into their decisions. Otherwise, naive use of primary ESG scores may provide a misleading clue. © 2021 Masaryk University.","container-title":"Journal of Sustainable Finance and Investment","DOI":"10.1080/20430795.2021.1922062","title":"ESG ratings: relevant information or misleading clue? Evidence from the S&amp;P Global 1200","URL":"https://www.scopus.com/inward/record.uri?eid=2-s2.0-85106344511&amp;doi=10.1080%2f20430795.2021.1922062&amp;partnerID=40&amp;md5=28e565dd813e46c801737fa2c70a66a7","author":[{"family":"Gyönyörová","given":"L."},{"family":"Stachoň","given":"M."},{"family":"Stašek","given":"D."}],"issued":{"date-parts":[["2021"]]}}}],"schema":"https://github.com/citation-style-language/schema/raw/master/csl-citation.json"} </w:instrText>
      </w:r>
      <w:r w:rsidR="00995F80" w:rsidRPr="007E723C">
        <w:rPr>
          <w:rFonts w:ascii="Georgia" w:hAnsi="Georgia" w:cs="Times New Roman"/>
          <w:sz w:val="24"/>
          <w:szCs w:val="24"/>
        </w:rPr>
        <w:fldChar w:fldCharType="separate"/>
      </w:r>
      <w:r w:rsidR="00995F80" w:rsidRPr="007E723C">
        <w:rPr>
          <w:rFonts w:ascii="Georgia" w:hAnsi="Georgia" w:cs="Times New Roman"/>
          <w:sz w:val="24"/>
          <w:szCs w:val="24"/>
        </w:rPr>
        <w:t>(Gyönyörová és mtsai., 2021)</w:t>
      </w:r>
      <w:r w:rsidR="00995F80" w:rsidRPr="007E723C">
        <w:rPr>
          <w:rFonts w:ascii="Georgia" w:hAnsi="Georgia" w:cs="Times New Roman"/>
          <w:sz w:val="24"/>
          <w:szCs w:val="24"/>
        </w:rPr>
        <w:fldChar w:fldCharType="end"/>
      </w:r>
      <w:r w:rsidRPr="007E723C">
        <w:rPr>
          <w:rFonts w:ascii="Georgia" w:hAnsi="Georgia" w:cs="Times New Roman"/>
          <w:sz w:val="24"/>
          <w:szCs w:val="24"/>
        </w:rPr>
        <w:t>. Így kiemelten fontos foglalkozni azzal, hogy mennyire tekinthetőek egyáltalán megbízható</w:t>
      </w:r>
      <w:r w:rsidR="005A3CDD" w:rsidRPr="007E723C">
        <w:rPr>
          <w:rFonts w:ascii="Georgia" w:hAnsi="Georgia" w:cs="Times New Roman"/>
          <w:sz w:val="24"/>
          <w:szCs w:val="24"/>
        </w:rPr>
        <w:t xml:space="preserve"> információnak</w:t>
      </w:r>
      <w:r w:rsidRPr="007E723C">
        <w:rPr>
          <w:rFonts w:ascii="Georgia" w:hAnsi="Georgia" w:cs="Times New Roman"/>
          <w:sz w:val="24"/>
          <w:szCs w:val="24"/>
        </w:rPr>
        <w:t xml:space="preserve"> a minősítést végző cégek által közreadott ESG pontszámok. </w:t>
      </w:r>
    </w:p>
    <w:p w14:paraId="7CDBFD56" w14:textId="401FEEF7" w:rsidR="00151ED5" w:rsidRPr="007E723C" w:rsidRDefault="003C2890" w:rsidP="004A0817">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számvitel egyik fő követelménye, hogy a vállalatok vagyoni, pénzügyi és jövedelmi helyzetéről megbízható és valós információk álljanak rendelkezésre, melyet </w:t>
      </w:r>
      <w:r w:rsidR="00C12ED6" w:rsidRPr="007E723C">
        <w:rPr>
          <w:rFonts w:ascii="Georgia" w:hAnsi="Georgia" w:cs="Times New Roman"/>
          <w:sz w:val="24"/>
          <w:szCs w:val="24"/>
        </w:rPr>
        <w:t xml:space="preserve">a </w:t>
      </w:r>
      <w:r w:rsidRPr="007E723C">
        <w:rPr>
          <w:rFonts w:ascii="Georgia" w:hAnsi="Georgia" w:cs="Times New Roman"/>
          <w:sz w:val="24"/>
          <w:szCs w:val="24"/>
        </w:rPr>
        <w:t>külső érdekeltek döntéshozataluk során fel tudnak használni</w:t>
      </w:r>
      <w:r w:rsidR="005A3CDD" w:rsidRPr="007E723C">
        <w:rPr>
          <w:rFonts w:ascii="Georgia" w:hAnsi="Georgia" w:cs="Times New Roman"/>
          <w:sz w:val="24"/>
          <w:szCs w:val="24"/>
        </w:rPr>
        <w:t xml:space="preserve"> </w:t>
      </w:r>
      <w:r w:rsidR="005A3CDD" w:rsidRPr="007E723C">
        <w:rPr>
          <w:rFonts w:ascii="Georgia" w:hAnsi="Georgia" w:cs="Times New Roman"/>
          <w:sz w:val="24"/>
          <w:szCs w:val="24"/>
        </w:rPr>
        <w:fldChar w:fldCharType="begin"/>
      </w:r>
      <w:r w:rsidR="00B33DE5" w:rsidRPr="007E723C">
        <w:rPr>
          <w:rFonts w:ascii="Georgia" w:hAnsi="Georgia" w:cs="Times New Roman"/>
          <w:sz w:val="24"/>
          <w:szCs w:val="24"/>
        </w:rPr>
        <w:instrText xml:space="preserve"> ADDIN ZOTERO_ITEM CSL_CITATION {"citationID":"voqMEz0Q","properties":{"formattedCitation":"(2000. \\uc0\\u233{}vi C. t\\uc0\\u246{}rv\\uc0\\u233{}ny a sz\\uc0\\u225{}mvitelr\\uc0\\u337{}l, \\uc0\\u233{}. n.)","plainCitation":"(2000. évi C. törvény a számvitelről, é. n.)","dontUpdate":true,"noteIndex":0},"citationItems":[{"id":719,"uris":["http://zotero.org/users/9445126/items/HIV9EWPZ"],"itemData":{"id":719,"type":"legislation","title":"2000. évi C. törvény a számvitelről"}}],"schema":"https://github.com/citation-style-language/schema/raw/master/csl-citation.json"} </w:instrText>
      </w:r>
      <w:r w:rsidR="005A3CDD" w:rsidRPr="007E723C">
        <w:rPr>
          <w:rFonts w:ascii="Georgia" w:hAnsi="Georgia" w:cs="Times New Roman"/>
          <w:sz w:val="24"/>
          <w:szCs w:val="24"/>
        </w:rPr>
        <w:fldChar w:fldCharType="separate"/>
      </w:r>
      <w:r w:rsidR="005A3CDD" w:rsidRPr="007E723C">
        <w:rPr>
          <w:rFonts w:ascii="Georgia" w:hAnsi="Georgia" w:cs="Times New Roman"/>
          <w:sz w:val="24"/>
          <w:szCs w:val="24"/>
        </w:rPr>
        <w:t xml:space="preserve">(2000. évi </w:t>
      </w:r>
      <w:r w:rsidR="005A3CDD" w:rsidRPr="007E723C">
        <w:rPr>
          <w:rFonts w:ascii="Georgia" w:hAnsi="Georgia" w:cs="Times New Roman"/>
          <w:sz w:val="24"/>
          <w:szCs w:val="24"/>
        </w:rPr>
        <w:lastRenderedPageBreak/>
        <w:t>C. törvény a számvitelről)</w:t>
      </w:r>
      <w:r w:rsidR="005A3CDD" w:rsidRPr="007E723C">
        <w:rPr>
          <w:rFonts w:ascii="Georgia" w:hAnsi="Georgia" w:cs="Times New Roman"/>
          <w:sz w:val="24"/>
          <w:szCs w:val="24"/>
        </w:rPr>
        <w:fldChar w:fldCharType="end"/>
      </w:r>
      <w:r w:rsidRPr="007E723C">
        <w:rPr>
          <w:rFonts w:ascii="Georgia" w:hAnsi="Georgia" w:cs="Times New Roman"/>
          <w:sz w:val="24"/>
          <w:szCs w:val="24"/>
        </w:rPr>
        <w:t>. Éppen ezért az ESG pontszámok kapcsán is jogos elvárás, hogy az adatok megbízhatóak legyen</w:t>
      </w:r>
      <w:r w:rsidR="00EB6925" w:rsidRPr="007E723C">
        <w:rPr>
          <w:rFonts w:ascii="Georgia" w:hAnsi="Georgia" w:cs="Times New Roman"/>
          <w:sz w:val="24"/>
          <w:szCs w:val="24"/>
        </w:rPr>
        <w:t>ek</w:t>
      </w:r>
      <w:r w:rsidR="005A3CDD" w:rsidRPr="007E723C">
        <w:rPr>
          <w:rFonts w:ascii="Georgia" w:hAnsi="Georgia" w:cs="Times New Roman"/>
          <w:sz w:val="24"/>
          <w:szCs w:val="24"/>
        </w:rPr>
        <w:t>,</w:t>
      </w:r>
      <w:r w:rsidRPr="007E723C">
        <w:rPr>
          <w:rFonts w:ascii="Georgia" w:hAnsi="Georgia" w:cs="Times New Roman"/>
          <w:sz w:val="24"/>
          <w:szCs w:val="24"/>
        </w:rPr>
        <w:t xml:space="preserve"> a mérlegelésükkel </w:t>
      </w:r>
      <w:r w:rsidR="005A3CDD" w:rsidRPr="007E723C">
        <w:rPr>
          <w:rFonts w:ascii="Georgia" w:hAnsi="Georgia" w:cs="Times New Roman"/>
          <w:sz w:val="24"/>
          <w:szCs w:val="24"/>
        </w:rPr>
        <w:t>meghozott</w:t>
      </w:r>
      <w:r w:rsidRPr="007E723C">
        <w:rPr>
          <w:rFonts w:ascii="Georgia" w:hAnsi="Georgia" w:cs="Times New Roman"/>
          <w:sz w:val="24"/>
          <w:szCs w:val="24"/>
        </w:rPr>
        <w:t xml:space="preserve"> döntések</w:t>
      </w:r>
      <w:r w:rsidR="005A3CDD" w:rsidRPr="007E723C">
        <w:rPr>
          <w:rFonts w:ascii="Georgia" w:hAnsi="Georgia" w:cs="Times New Roman"/>
          <w:sz w:val="24"/>
          <w:szCs w:val="24"/>
        </w:rPr>
        <w:t xml:space="preserve"> pedig</w:t>
      </w:r>
      <w:r w:rsidRPr="007E723C">
        <w:rPr>
          <w:rFonts w:ascii="Georgia" w:hAnsi="Georgia" w:cs="Times New Roman"/>
          <w:sz w:val="24"/>
          <w:szCs w:val="24"/>
        </w:rPr>
        <w:t xml:space="preserve"> ne okozzanak kárt a befektetőknek. </w:t>
      </w:r>
    </w:p>
    <w:p w14:paraId="2BF44520" w14:textId="355A336D" w:rsidR="00964907" w:rsidRDefault="000F6B04" w:rsidP="00964907">
      <w:pPr>
        <w:spacing w:line="360" w:lineRule="auto"/>
        <w:ind w:firstLine="709"/>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89984" behindDoc="0" locked="0" layoutInCell="1" allowOverlap="1" wp14:anchorId="7D4D2CDC" wp14:editId="4B11A6A4">
            <wp:simplePos x="0" y="0"/>
            <wp:positionH relativeFrom="column">
              <wp:posOffset>-14605</wp:posOffset>
            </wp:positionH>
            <wp:positionV relativeFrom="paragraph">
              <wp:posOffset>1304925</wp:posOffset>
            </wp:positionV>
            <wp:extent cx="5399405" cy="1549400"/>
            <wp:effectExtent l="0" t="0" r="0" b="0"/>
            <wp:wrapSquare wrapText="bothSides"/>
            <wp:docPr id="33" name="Picture 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399405" cy="1549400"/>
                    </a:xfrm>
                    <a:prstGeom prst="rect">
                      <a:avLst/>
                    </a:prstGeom>
                  </pic:spPr>
                </pic:pic>
              </a:graphicData>
            </a:graphic>
            <wp14:sizeRelH relativeFrom="page">
              <wp14:pctWidth>0</wp14:pctWidth>
            </wp14:sizeRelH>
            <wp14:sizeRelV relativeFrom="page">
              <wp14:pctHeight>0</wp14:pctHeight>
            </wp14:sizeRelV>
          </wp:anchor>
        </w:drawing>
      </w:r>
      <w:r w:rsidR="005A3CDD" w:rsidRPr="007E723C">
        <w:rPr>
          <w:rFonts w:ascii="Georgia" w:hAnsi="Georgia" w:cs="Times New Roman"/>
          <w:sz w:val="24"/>
          <w:szCs w:val="24"/>
        </w:rPr>
        <w:t xml:space="preserve">A szakirodalomban fellelhető kutatások alapján az ESG minősítések megbízhatóságához kapcsolódóan 5 fő csoportba lehet sorolni azokat a problémákat, hiányosságokat, torzító hatásokat, amelyek az ESG pontszámok inkonzisztenciájához vezetnek </w:t>
      </w:r>
      <w:r w:rsidR="005A3CDD" w:rsidRPr="00964907">
        <w:rPr>
          <w:rFonts w:ascii="Georgia" w:hAnsi="Georgia" w:cs="Times New Roman"/>
          <w:sz w:val="24"/>
          <w:szCs w:val="24"/>
        </w:rPr>
        <w:t>(</w:t>
      </w:r>
      <w:r w:rsidR="00CD6083" w:rsidRPr="00964907">
        <w:rPr>
          <w:rFonts w:ascii="Georgia" w:hAnsi="Georgia" w:cs="Times New Roman"/>
          <w:sz w:val="24"/>
          <w:szCs w:val="24"/>
        </w:rPr>
        <w:t>3.</w:t>
      </w:r>
      <w:r w:rsidR="005A3CDD" w:rsidRPr="00964907">
        <w:rPr>
          <w:rFonts w:ascii="Georgia" w:hAnsi="Georgia" w:cs="Times New Roman"/>
          <w:sz w:val="24"/>
          <w:szCs w:val="24"/>
        </w:rPr>
        <w:t xml:space="preserve"> táblázat).</w:t>
      </w:r>
      <w:r w:rsidR="007E4BA2" w:rsidRPr="007E723C">
        <w:rPr>
          <w:rFonts w:ascii="Georgia" w:hAnsi="Georgia" w:cs="Times New Roman"/>
          <w:sz w:val="24"/>
          <w:szCs w:val="24"/>
        </w:rPr>
        <w:t xml:space="preserve"> A következőkben ezeket tényezőket fejtem ki részletesebben.</w:t>
      </w:r>
    </w:p>
    <w:p w14:paraId="0D9ACDBA" w14:textId="77777777" w:rsidR="00964907" w:rsidRPr="00476666" w:rsidRDefault="00964907"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xml:space="preserve">: Az ESG minősítő társaságok főbb ismérvei </w:t>
      </w:r>
    </w:p>
    <w:p w14:paraId="7675693B" w14:textId="5A701C55" w:rsidR="00964907" w:rsidRPr="00476666" w:rsidRDefault="00964907" w:rsidP="000E7E55">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0F8EA6E3" w14:textId="53A99635" w:rsidR="007E4BA2" w:rsidRPr="007E723C" w:rsidRDefault="007E4BA2" w:rsidP="00FF7AC9">
      <w:pPr>
        <w:pStyle w:val="Cmsor3"/>
        <w:numPr>
          <w:ilvl w:val="2"/>
          <w:numId w:val="3"/>
        </w:numPr>
        <w:spacing w:after="160"/>
        <w:ind w:left="1701"/>
        <w:rPr>
          <w:rFonts w:ascii="Georgia" w:hAnsi="Georgia" w:cs="Times New Roman"/>
          <w:b/>
          <w:bCs/>
          <w:color w:val="auto"/>
        </w:rPr>
      </w:pPr>
      <w:bookmarkStart w:id="22" w:name="_Toc119421180"/>
      <w:r w:rsidRPr="007E723C">
        <w:rPr>
          <w:rFonts w:ascii="Georgia" w:hAnsi="Georgia" w:cs="Times New Roman"/>
          <w:b/>
          <w:bCs/>
          <w:color w:val="auto"/>
        </w:rPr>
        <w:t>A minősítéshez felhasznált információ</w:t>
      </w:r>
      <w:r w:rsidR="0082364C" w:rsidRPr="007E723C">
        <w:rPr>
          <w:rFonts w:ascii="Georgia" w:hAnsi="Georgia" w:cs="Times New Roman"/>
          <w:b/>
          <w:bCs/>
          <w:color w:val="auto"/>
        </w:rPr>
        <w:t>k</w:t>
      </w:r>
      <w:r w:rsidRPr="007E723C">
        <w:rPr>
          <w:rFonts w:ascii="Georgia" w:hAnsi="Georgia" w:cs="Times New Roman"/>
          <w:b/>
          <w:bCs/>
          <w:color w:val="auto"/>
        </w:rPr>
        <w:t xml:space="preserve"> megbízhatósága</w:t>
      </w:r>
      <w:bookmarkEnd w:id="22"/>
    </w:p>
    <w:p w14:paraId="0ADBEDD1" w14:textId="62F24165" w:rsidR="00AA41FB" w:rsidRPr="007E723C" w:rsidRDefault="00AA41FB" w:rsidP="00AA41FB">
      <w:pPr>
        <w:spacing w:line="360" w:lineRule="auto"/>
        <w:ind w:firstLine="720"/>
        <w:jc w:val="both"/>
        <w:rPr>
          <w:rFonts w:ascii="Georgia" w:hAnsi="Georgia" w:cs="Times New Roman"/>
          <w:sz w:val="24"/>
          <w:szCs w:val="24"/>
        </w:rPr>
      </w:pPr>
      <w:r w:rsidRPr="007E723C">
        <w:rPr>
          <w:rFonts w:ascii="Georgia" w:hAnsi="Georgia" w:cs="Times New Roman"/>
          <w:sz w:val="24"/>
          <w:szCs w:val="24"/>
        </w:rPr>
        <w:t>A 4</w:t>
      </w:r>
      <w:r w:rsidR="00C81820" w:rsidRPr="007E723C">
        <w:rPr>
          <w:rFonts w:ascii="Georgia" w:hAnsi="Georgia" w:cs="Times New Roman"/>
          <w:sz w:val="24"/>
          <w:szCs w:val="24"/>
        </w:rPr>
        <w:t>.</w:t>
      </w:r>
      <w:r w:rsidRPr="007E723C">
        <w:rPr>
          <w:rFonts w:ascii="Georgia" w:hAnsi="Georgia" w:cs="Times New Roman"/>
          <w:sz w:val="24"/>
          <w:szCs w:val="24"/>
        </w:rPr>
        <w:t xml:space="preserve"> fejezetben már láthattuk, hogy milyen adatokra és</w:t>
      </w:r>
      <w:r w:rsidR="00C81820" w:rsidRPr="007E723C">
        <w:rPr>
          <w:rFonts w:ascii="Georgia" w:hAnsi="Georgia" w:cs="Times New Roman"/>
          <w:sz w:val="24"/>
          <w:szCs w:val="24"/>
        </w:rPr>
        <w:t xml:space="preserve"> </w:t>
      </w:r>
      <w:r w:rsidRPr="007E723C">
        <w:rPr>
          <w:rFonts w:ascii="Georgia" w:hAnsi="Georgia" w:cs="Times New Roman"/>
          <w:sz w:val="24"/>
          <w:szCs w:val="24"/>
        </w:rPr>
        <w:t xml:space="preserve">információkra </w:t>
      </w:r>
      <w:r w:rsidR="00C81820" w:rsidRPr="007E723C">
        <w:rPr>
          <w:rFonts w:ascii="Georgia" w:hAnsi="Georgia" w:cs="Times New Roman"/>
          <w:sz w:val="24"/>
          <w:szCs w:val="24"/>
        </w:rPr>
        <w:t xml:space="preserve">(cégnyilvántartás, nem pénzügyi jelentések, média, harmadik fél adatszolgáltatásai, kérdőívek stb.) </w:t>
      </w:r>
      <w:r w:rsidRPr="007E723C">
        <w:rPr>
          <w:rFonts w:ascii="Georgia" w:hAnsi="Georgia" w:cs="Times New Roman"/>
          <w:sz w:val="24"/>
          <w:szCs w:val="24"/>
        </w:rPr>
        <w:t xml:space="preserve">támaszkodva lehet meghatározni a vállalatok </w:t>
      </w:r>
      <w:r w:rsidR="00C81820" w:rsidRPr="007E723C">
        <w:rPr>
          <w:rFonts w:ascii="Georgia" w:hAnsi="Georgia" w:cs="Times New Roman"/>
          <w:sz w:val="24"/>
          <w:szCs w:val="24"/>
        </w:rPr>
        <w:t xml:space="preserve">fenntarthatóságát. </w:t>
      </w:r>
      <w:r w:rsidRPr="007E723C">
        <w:rPr>
          <w:rFonts w:ascii="Georgia" w:hAnsi="Georgia" w:cs="Times New Roman"/>
          <w:sz w:val="24"/>
          <w:szCs w:val="24"/>
        </w:rPr>
        <w:t>Ahhoz</w:t>
      </w:r>
      <w:r w:rsidR="00C81820" w:rsidRPr="007E723C">
        <w:rPr>
          <w:rFonts w:ascii="Georgia" w:hAnsi="Georgia" w:cs="Times New Roman"/>
          <w:sz w:val="24"/>
          <w:szCs w:val="24"/>
        </w:rPr>
        <w:t xml:space="preserve"> azonban</w:t>
      </w:r>
      <w:r w:rsidRPr="007E723C">
        <w:rPr>
          <w:rFonts w:ascii="Georgia" w:hAnsi="Georgia" w:cs="Times New Roman"/>
          <w:sz w:val="24"/>
          <w:szCs w:val="24"/>
        </w:rPr>
        <w:t xml:space="preserve">, hogy a vállalatok ESG teljesítményét megbízhatóan mérni </w:t>
      </w:r>
      <w:r w:rsidR="00C81820" w:rsidRPr="007E723C">
        <w:rPr>
          <w:rFonts w:ascii="Georgia" w:hAnsi="Georgia" w:cs="Times New Roman"/>
          <w:sz w:val="24"/>
          <w:szCs w:val="24"/>
        </w:rPr>
        <w:t xml:space="preserve">is </w:t>
      </w:r>
      <w:r w:rsidRPr="007E723C">
        <w:rPr>
          <w:rFonts w:ascii="Georgia" w:hAnsi="Georgia" w:cs="Times New Roman"/>
          <w:sz w:val="24"/>
          <w:szCs w:val="24"/>
        </w:rPr>
        <w:t xml:space="preserve">lehessen, elengedhetetlen, hogy </w:t>
      </w:r>
      <w:r w:rsidR="00C81820" w:rsidRPr="007E723C">
        <w:rPr>
          <w:rFonts w:ascii="Georgia" w:hAnsi="Georgia" w:cs="Times New Roman"/>
          <w:sz w:val="24"/>
          <w:szCs w:val="24"/>
        </w:rPr>
        <w:t>ezek</w:t>
      </w:r>
      <w:r w:rsidR="00C12ED6" w:rsidRPr="007E723C">
        <w:rPr>
          <w:rFonts w:ascii="Georgia" w:hAnsi="Georgia" w:cs="Times New Roman"/>
          <w:sz w:val="24"/>
          <w:szCs w:val="24"/>
        </w:rPr>
        <w:t xml:space="preserve"> a</w:t>
      </w:r>
      <w:r w:rsidRPr="007E723C">
        <w:rPr>
          <w:rFonts w:ascii="Georgia" w:hAnsi="Georgia" w:cs="Times New Roman"/>
          <w:sz w:val="24"/>
          <w:szCs w:val="24"/>
        </w:rPr>
        <w:t xml:space="preserve"> források pontosan és naprakészen rendelkezésre álljanak. A mérhetőség szempontjából talán az egyik legfontosabb kérdés, hogy a minősítéshez szükséges adatokat, információkat hogyan lehet elérni, megszerezni. Általánosságban elmondható, hogy ezeknek az adatoknak a hitelessége, teljessége, és valódisága egyaránt megkérdőjelezhető</w:t>
      </w:r>
      <w:r w:rsidR="00C81820" w:rsidRPr="007E723C">
        <w:rPr>
          <w:rFonts w:ascii="Georgia" w:hAnsi="Georgia" w:cs="Times New Roman"/>
          <w:sz w:val="24"/>
          <w:szCs w:val="24"/>
        </w:rPr>
        <w:t xml:space="preserve"> </w:t>
      </w:r>
      <w:r w:rsidR="00C81820" w:rsidRPr="007E723C">
        <w:rPr>
          <w:rFonts w:ascii="Georgia" w:hAnsi="Georgia" w:cs="Times New Roman"/>
          <w:sz w:val="24"/>
          <w:szCs w:val="24"/>
        </w:rPr>
        <w:fldChar w:fldCharType="begin"/>
      </w:r>
      <w:r w:rsidR="00C81820" w:rsidRPr="007E723C">
        <w:rPr>
          <w:rFonts w:ascii="Georgia" w:hAnsi="Georgia" w:cs="Times New Roman"/>
          <w:sz w:val="24"/>
          <w:szCs w:val="24"/>
        </w:rPr>
        <w:instrText xml:space="preserve"> ADDIN ZOTERO_ITEM CSL_CITATION {"citationID":"jYalKCuS","properties":{"formattedCitation":"(Gy\\uc0\\u246{}ny\\uc0\\u246{}rov\\uc0\\u225{} \\uc0\\u233{}s mtsai., 2021)","plainCitation":"(Gyönyörová és mtsai., 2021)","noteIndex":0},"citationItems":[{"id":355,"uris":["http://zotero.org/users/9445126/items/BUCA8QNF"],"itemData":{"id":355,"type":"article-journal","abstract":"Environmental, social, and corporate governance (ESG) scores are frequently involved in investment-related decision-making, e.g. for red-flagging or to manage risks. The increasing interest in ESG data raises the question about their validity from various sources. Therefore, we explore the consistency and convergent validity of the well recognized ESG data providers. Exploratory factor analysis of S&amp;P Global 1200 index demonstrates considerable uncertainty across extracted latent factors. Further factor analyses show that the consistency and convergent validity across ESG data significantly depend on the industry type and the country of domicile. These findings are supported by confirmatory factor analyses. Thus, the stakeholders are encouraged to incorporate the company sector and domicile aspects into their decisions. Otherwise, naive use of primary ESG scores may provide a misleading clue. © 2021 Masaryk University.","container-title":"Journal of Sustainable Finance and Investment","DOI":"10.1080/20430795.2021.1922062","title":"ESG ratings: relevant information or misleading clue? Evidence from the S&amp;P Global 1200","URL":"https://www.scopus.com/inward/record.uri?eid=2-s2.0-85106344511&amp;doi=10.1080%2f20430795.2021.1922062&amp;partnerID=40&amp;md5=28e565dd813e46c801737fa2c70a66a7","author":[{"family":"Gyönyörová","given":"L."},{"family":"Stachoň","given":"M."},{"family":"Stašek","given":"D."}],"issued":{"date-parts":[["2021"]]}}}],"schema":"https://github.com/citation-style-language/schema/raw/master/csl-citation.json"} </w:instrText>
      </w:r>
      <w:r w:rsidR="00C81820" w:rsidRPr="007E723C">
        <w:rPr>
          <w:rFonts w:ascii="Georgia" w:hAnsi="Georgia" w:cs="Times New Roman"/>
          <w:sz w:val="24"/>
          <w:szCs w:val="24"/>
        </w:rPr>
        <w:fldChar w:fldCharType="separate"/>
      </w:r>
      <w:r w:rsidR="00C81820" w:rsidRPr="007E723C">
        <w:rPr>
          <w:rFonts w:ascii="Georgia" w:hAnsi="Georgia" w:cs="Times New Roman"/>
          <w:sz w:val="24"/>
          <w:szCs w:val="24"/>
        </w:rPr>
        <w:t>(Gyönyörová és mtsai., 2021)</w:t>
      </w:r>
      <w:r w:rsidR="00C81820"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3C7AF033" w14:textId="77777777" w:rsidR="00AA41FB" w:rsidRPr="007E723C" w:rsidRDefault="00AA41FB" w:rsidP="00C81820">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Az ESG szemlélet megjelenésével egyre több vállalat hozza nyilvánosságra akár önkéntesen is saját fenntarthatósági jelentését. Ezek a beszámolók azonban csak látszólag könnyítik meg az elemzéseket, értékeléseket végző szakemberek munkáját. Ahogy az első fejezetben is láthattuk, vannak olyan vállalatok, amelyek csupán haszonszerzési céllal egyfajta marketingeszközként használják a vállalati </w:t>
      </w:r>
      <w:r w:rsidRPr="007E723C">
        <w:rPr>
          <w:rFonts w:ascii="Georgia" w:hAnsi="Georgia" w:cs="Times New Roman"/>
          <w:sz w:val="24"/>
          <w:szCs w:val="24"/>
        </w:rPr>
        <w:lastRenderedPageBreak/>
        <w:t xml:space="preserve">társadalmi fenntarthatóságot és igyekeznek magukról pozitívabb képet mutatni. Ez az úgynevezett „zöldre festés” jelensége. A közzétett beszámolók tehát sok esetben tartalmazhatnak olyan információkat, amelyek jobb fényben tűntetik fel az adott vállalatot. Nem kizárt továbbá az sem, hogy egyes vállalatok bizonyos adatokat kihagynak a közzétételből, azzal a céllal, hogy így jobb képet fessenek magukról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{"citationID":"JI82uiMh","properties":{"formattedCitation":"(Gy\\uc0\\u246{}ny\\uc0\\u246{}rov\\uc0\\u225{} \\uc0\\u233{}s mtsai., 2021)","plainCitation":"(Gyönyörová és mtsai., 2021)","noteIndex":0},"citationItems":[{"id":355,"uris":["http://zotero.org/users/9445126/items/BUCA8QNF"],"itemData":{"id":355,"type":"article-journal","abstract":"Environmental, social, and corporate governance (ESG) scores are frequently involved in investment-related decision-making, e.g. for red-flagging or to manage risks. The increasing interest in ESG data raises the question about their validity from various sources. Therefore, we explore the consistency and convergent validity of the well recognized ESG data providers. Exploratory factor analysis of S&amp;P Global 1200 index demonstrates considerable uncertainty across extracted latent factors. Further factor analyses show that the consistency and convergent validity across ESG data significantly depend on the industry type and the country of domicile. These findings are supported by confirmatory factor analyses. Thus, the stakeholders are encouraged to incorporate the company sector and domicile aspects into their decisions. Otherwise, naive use of primary ESG scores may provide a misleading clue. © 2021 Masaryk University.","container-title":"Journal of Sustainable Finance and Investment","DOI":"10.1080/20430795.2021.1922062","title":"ESG ratings: relevant information or misleading clue? Evidence from the S&amp;P Global 1200","URL":"https://www.scopus.com/inward/record.uri?eid=2-s2.0-85106344511&amp;doi=10.1080%2f20430795.2021.1922062&amp;partnerID=40&amp;md5=28e565dd813e46c801737fa2c70a66a7","author":[{"family":"Gyönyörová","given":"L."},{"family":"Stachoň","given":"M."},{"family":"Stašek","given":"D."}],"issued":{"date-parts":[["2021"]]}}}],"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(Gyönyörová és mtsai., 2021)</w:t>
      </w:r>
      <w:r w:rsidRPr="007E723C">
        <w:rPr>
          <w:rFonts w:ascii="Georgia" w:hAnsi="Georgia" w:cs="Times New Roman"/>
          <w:sz w:val="24"/>
          <w:szCs w:val="24"/>
        </w:rPr>
        <w:fldChar w:fldCharType="end"/>
      </w:r>
      <w:r w:rsidRPr="007E723C">
        <w:rPr>
          <w:rFonts w:ascii="Georgia" w:hAnsi="Georgia" w:cs="Times New Roman"/>
          <w:sz w:val="24"/>
          <w:szCs w:val="24"/>
        </w:rPr>
        <w:t>.</w:t>
      </w:r>
    </w:p>
    <w:p w14:paraId="4BD1BF80" w14:textId="77777777" w:rsidR="00AA41FB" w:rsidRPr="007E723C" w:rsidRDefault="00AA41FB" w:rsidP="00C81820">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 közzétett beszámolókban szereplő adatok hitelességén túl gondot jelenthet az is, ha a rendelkezésre álló adatok nem teljesek. Így ugyanis előfordulhat, hogy a nem elegendő információn alapuló elemzések, értékelések téves következtetésekhez, hibás minősítéshez vezetnek. Példaként erre a Ball Corporation esetét érdemes megemlíteni. Az alumínium dobozok gyártásával foglalkozó társaság többek között azért kapott gyenge ESG minősítést, mert az elemzést végző szakemberekhez nem jutott el az az információ, hogy a magas energiafelhasználással járó termelés során előállított alumínium közel háromnegyede még mindig használatban van, ami hosszú távon csökkenti az energiafelhasználást és a potenciális szennyezést is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{"citationID":"4irbTmNI","properties":{"formattedCitation":"(Nauman, 2019)","plainCitation":"(Nauman, 2019)","noteIndex":0},"citationItems":[{"id":701,"uris":["http://zotero.org/users/9445126/items/H9LHZXEB"],"itemData":{"id":701,"type":"article-newspaper","container-title":"Financial Times","title":"Artificial intelligence promises to enhance sustainable investing","URL":"https://www.ft.com/content/7c40cdfc-b528-11e9-bec9-fdcab53d6959","author":[{"family":"Nauman","given":"Billy"}],"issued":{"date-parts":[["2019",8,20]]}}}],"schema":"https://github.com/citation-style-language/schema/raw/master/csl-citation.json"}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(Nauman, 2019)</w:t>
      </w:r>
      <w:r w:rsidRPr="007E723C">
        <w:rPr>
          <w:rFonts w:ascii="Georgia" w:hAnsi="Georgia" w:cs="Times New Roman"/>
          <w:sz w:val="24"/>
          <w:szCs w:val="24"/>
        </w:rPr>
        <w:fldChar w:fldCharType="end"/>
      </w:r>
      <w:r w:rsidRPr="007E723C">
        <w:rPr>
          <w:rFonts w:ascii="Georgia" w:hAnsi="Georgia" w:cs="Times New Roman"/>
          <w:sz w:val="24"/>
          <w:szCs w:val="24"/>
        </w:rPr>
        <w:t xml:space="preserve">. </w:t>
      </w:r>
    </w:p>
    <w:p w14:paraId="5AD4825E" w14:textId="1F6CB636" w:rsidR="00634801" w:rsidRPr="007E723C" w:rsidRDefault="00634801" w:rsidP="00C81820">
      <w:pPr>
        <w:spacing w:line="360" w:lineRule="auto"/>
        <w:ind w:firstLine="720"/>
        <w:jc w:val="both"/>
        <w:rPr>
          <w:rFonts w:ascii="Georgia" w:hAnsi="Georgia" w:cs="Times New Roman"/>
          <w:sz w:val="24"/>
          <w:szCs w:val="24"/>
        </w:rPr>
      </w:pPr>
      <w:r w:rsidRPr="007E723C">
        <w:rPr>
          <w:rFonts w:ascii="Georgia" w:hAnsi="Georgia" w:cs="Times New Roman"/>
          <w:sz w:val="24"/>
          <w:szCs w:val="24"/>
        </w:rPr>
        <w:t>Christensen</w:t>
      </w:r>
      <w:r w:rsidR="00C12ED6" w:rsidRPr="007E723C">
        <w:rPr>
          <w:rFonts w:ascii="Georgia" w:hAnsi="Georgia" w:cs="Times New Roman"/>
          <w:sz w:val="24"/>
          <w:szCs w:val="24"/>
        </w:rPr>
        <w:t xml:space="preserve"> és munkatársai </w:t>
      </w:r>
      <w:r w:rsidR="00C12ED6" w:rsidRPr="007E723C">
        <w:rPr>
          <w:rFonts w:ascii="Georgia" w:hAnsi="Georgia" w:cs="Times New Roman"/>
          <w:sz w:val="24"/>
          <w:szCs w:val="24"/>
        </w:rPr>
        <w:fldChar w:fldCharType="begin"/>
      </w:r>
      <w:r w:rsidR="000967D3" w:rsidRPr="007E723C">
        <w:rPr>
          <w:rFonts w:ascii="Georgia" w:hAnsi="Georgia" w:cs="Times New Roman"/>
          <w:sz w:val="24"/>
          <w:szCs w:val="24"/>
        </w:rPr>
        <w:instrText xml:space="preserve"> ADDIN ZOTERO_ITEM CSL_CITATION {"citationID":"0YiZuHTU","properties":{"formattedCitation":"(2022)","plainCitation":"(2022)","noteIndex":0},"citationItems":[{"id":120,"uris":["http://zotero.org/users/9445126/items/6D2W87YB"],"itemData":{"id":120,"type":"article-journal","abstract":"Despite the rising use of environmental, social, and governance (ESG) ratings, there is substantial disagreement across rating agencies regarding what rating to give to individual firms. As what drives this disagreement is unclear, we examine whether a firm's ESG disclosure helps explain some of this disagreement. We predict and find that greater ESG disclosure actually leads to greater ESG rating disagreement. These findings hold using firm fixed effects and using a difference-in-differences design with mandatory ESG disclosure shocks. We also find that raters disagree more about ESG outcome metrics than input metrics (policies), and that disclosure appears to amplify disagreement more for outcomes. Last, we examine consequences of ESG disagreement and find that greater ESG disagreement is associated with higher return volatility, larger absolute price movements, and a lower likelihood of issuing external financing. Overall, our findings highlight that ESG disclosure generally exacerbates ESG rating disagreement rather than resolves it.","container-title":"ACCOUNTING REVIEW","DOI":"10.2308/TAR-2019-0506","ISSN":"0001-4826","issue":"1","page":"147-175","title":"Why is Corporate Virtue in the Eye of The Beholder? The Case of ESG Ratings","volume":"97","author":[{"family":"Christensen","given":"Dane M."},{"family":"Serafeim","given":"George"},{"family":"Sikochi","given":"Anywhere"}],"issued":{"date-parts":[["2022"]]}},"label":"page","suppress-author":true}],"schema":"https://github.com/citation-style-language/schema/raw/master/csl-citation.json"} </w:instrText>
      </w:r>
      <w:r w:rsidR="00C12ED6" w:rsidRPr="007E723C">
        <w:rPr>
          <w:rFonts w:ascii="Georgia" w:hAnsi="Georgia" w:cs="Times New Roman"/>
          <w:sz w:val="24"/>
          <w:szCs w:val="24"/>
        </w:rPr>
        <w:fldChar w:fldCharType="separate"/>
      </w:r>
      <w:r w:rsidR="000967D3" w:rsidRPr="007E723C">
        <w:rPr>
          <w:rFonts w:ascii="Georgia" w:hAnsi="Georgia" w:cs="Times New Roman"/>
          <w:sz w:val="24"/>
          <w:szCs w:val="24"/>
        </w:rPr>
        <w:t>(2022)</w:t>
      </w:r>
      <w:r w:rsidR="00C12ED6" w:rsidRPr="007E723C">
        <w:rPr>
          <w:rFonts w:ascii="Georgia" w:hAnsi="Georgia" w:cs="Times New Roman"/>
          <w:sz w:val="24"/>
          <w:szCs w:val="24"/>
        </w:rPr>
        <w:fldChar w:fldCharType="end"/>
      </w:r>
      <w:r w:rsidR="000967D3" w:rsidRPr="007E723C">
        <w:rPr>
          <w:rFonts w:ascii="Georgia" w:hAnsi="Georgia" w:cs="Times New Roman"/>
          <w:sz w:val="24"/>
          <w:szCs w:val="24"/>
        </w:rPr>
        <w:t xml:space="preserve"> </w:t>
      </w:r>
      <w:r w:rsidRPr="007E723C">
        <w:rPr>
          <w:rFonts w:ascii="Georgia" w:hAnsi="Georgia" w:cs="Times New Roman"/>
          <w:sz w:val="24"/>
          <w:szCs w:val="24"/>
        </w:rPr>
        <w:t>mutatott</w:t>
      </w:r>
      <w:r w:rsidR="00C12ED6" w:rsidRPr="007E723C">
        <w:rPr>
          <w:rFonts w:ascii="Georgia" w:hAnsi="Georgia" w:cs="Times New Roman"/>
          <w:sz w:val="24"/>
          <w:szCs w:val="24"/>
        </w:rPr>
        <w:t>ak</w:t>
      </w:r>
      <w:r w:rsidRPr="007E723C">
        <w:rPr>
          <w:rFonts w:ascii="Georgia" w:hAnsi="Georgia" w:cs="Times New Roman"/>
          <w:sz w:val="24"/>
          <w:szCs w:val="24"/>
        </w:rPr>
        <w:t xml:space="preserve"> rá arra, hogy azoknak a vállalatoknak, akik több információt tesznek közzé magukról nagyobbak a minősítései közötti eltérések. </w:t>
      </w:r>
      <w:r w:rsidR="000967D3" w:rsidRPr="007E723C">
        <w:rPr>
          <w:rFonts w:ascii="Georgia" w:hAnsi="Georgia" w:cs="Times New Roman"/>
          <w:sz w:val="24"/>
          <w:szCs w:val="24"/>
        </w:rPr>
        <w:t xml:space="preserve">Kotsantonis és Serafeim </w:t>
      </w:r>
      <w:r w:rsidR="000967D3" w:rsidRPr="007E723C">
        <w:rPr>
          <w:rFonts w:ascii="Georgia" w:hAnsi="Georgia" w:cs="Times New Roman"/>
          <w:sz w:val="24"/>
          <w:szCs w:val="24"/>
        </w:rPr>
        <w:fldChar w:fldCharType="begin"/>
      </w:r>
      <w:r w:rsidR="000967D3" w:rsidRPr="007E723C">
        <w:rPr>
          <w:rFonts w:ascii="Georgia" w:hAnsi="Georgia" w:cs="Times New Roman"/>
          <w:sz w:val="24"/>
          <w:szCs w:val="24"/>
        </w:rPr>
        <w:instrText xml:space="preserve"> ADDIN ZOTERO_ITEM CSL_CITATION {"citationID":"yoSTTR41","properties":{"formattedCitation":"(2019)","plainCitation":"(2019)","noteIndex":0},"citationItems":[{"id":133,"uris":["http://zotero.org/users/9445126/items/IUCZCU4D"],"itemData":{"id":133,"type":"article-journal","abstract":"The demand for information that captures how companies use different forms of capital-natural, social, human, and intellectual, as well as financial-to provide their products and services, and how their activities affect society through positive and negative externalities, has led to the creation of environmental, social, and governance (ESG) metrics and related corporate reporting efforts. These efforts have resulted in a proliferation of ESG reports, associated ESG data and ratings, and organizations trying to develop a more rigorous and systematic reporting of ESG information. As the ESG finance field and the number of people using ESG data in investment decisions continue to grow, it is important to shed light on and express our concerns about several important aspects of ESG measurement and data. This is not meant to be a criticism of any efforts in the field to measure, analyze, and communicate ESG activities and outcomes. It is intended rather to provide a useful guide for the rapidly rising number of people entering the field.","container-title":"JOURNAL OF APPLIED CORPORATE FINANCE","DOI":"10.1111/jacf.12346","ISSN":"1078-1196","issue":"2","page":"50-58","title":"Four Things No One Will Tell You About ESG Data","volume":"31","author":[{"family":"Kotsantonis","given":"Sakis"},{"family":"Serafeim","given":"George"}],"issued":{"date-parts":[["2019"]]}},"label":"page","suppress-author":true}],"schema":"https://github.com/citation-style-language/schema/raw/master/csl-citation.json"} </w:instrText>
      </w:r>
      <w:r w:rsidR="000967D3" w:rsidRPr="007E723C">
        <w:rPr>
          <w:rFonts w:ascii="Georgia" w:hAnsi="Georgia" w:cs="Times New Roman"/>
          <w:sz w:val="24"/>
          <w:szCs w:val="24"/>
        </w:rPr>
        <w:fldChar w:fldCharType="separate"/>
      </w:r>
      <w:r w:rsidR="000967D3" w:rsidRPr="007E723C">
        <w:rPr>
          <w:rFonts w:ascii="Georgia" w:hAnsi="Georgia" w:cs="Times New Roman"/>
          <w:sz w:val="24"/>
          <w:szCs w:val="24"/>
        </w:rPr>
        <w:t>(2019)</w:t>
      </w:r>
      <w:r w:rsidR="000967D3" w:rsidRPr="007E723C">
        <w:rPr>
          <w:rFonts w:ascii="Georgia" w:hAnsi="Georgia" w:cs="Times New Roman"/>
          <w:sz w:val="24"/>
          <w:szCs w:val="24"/>
        </w:rPr>
        <w:fldChar w:fldCharType="end"/>
      </w:r>
      <w:r w:rsidRPr="007E723C">
        <w:rPr>
          <w:rFonts w:ascii="Georgia" w:hAnsi="Georgia" w:cs="Times New Roman"/>
          <w:sz w:val="24"/>
          <w:szCs w:val="24"/>
        </w:rPr>
        <w:t xml:space="preserve"> ennek okát abban látták, hogy a cégek jellemzően eltérően mérnek és jelentenek hasonló problémák. Emellett szerepet játszhat az is, hogy nagy különbségek vannak abban, ahogy</w:t>
      </w:r>
      <w:r w:rsidR="00C12ED6" w:rsidRPr="007E723C">
        <w:rPr>
          <w:rFonts w:ascii="Georgia" w:hAnsi="Georgia" w:cs="Times New Roman"/>
          <w:sz w:val="24"/>
          <w:szCs w:val="24"/>
        </w:rPr>
        <w:t>an</w:t>
      </w:r>
      <w:r w:rsidRPr="007E723C">
        <w:rPr>
          <w:rFonts w:ascii="Georgia" w:hAnsi="Georgia" w:cs="Times New Roman"/>
          <w:sz w:val="24"/>
          <w:szCs w:val="24"/>
        </w:rPr>
        <w:t xml:space="preserve"> a minősítő cégek a pontszámok kiszámításá</w:t>
      </w:r>
      <w:r w:rsidR="00C12ED6" w:rsidRPr="007E723C">
        <w:rPr>
          <w:rFonts w:ascii="Georgia" w:hAnsi="Georgia" w:cs="Times New Roman"/>
          <w:sz w:val="24"/>
          <w:szCs w:val="24"/>
        </w:rPr>
        <w:t>nál</w:t>
      </w:r>
      <w:r w:rsidRPr="007E723C">
        <w:rPr>
          <w:rFonts w:ascii="Georgia" w:hAnsi="Georgia" w:cs="Times New Roman"/>
          <w:sz w:val="24"/>
          <w:szCs w:val="24"/>
        </w:rPr>
        <w:t xml:space="preserve"> hiányzó adatok, információkat</w:t>
      </w:r>
      <w:r w:rsidR="00F93B07" w:rsidRPr="007E723C">
        <w:rPr>
          <w:rFonts w:ascii="Georgia" w:hAnsi="Georgia" w:cs="Times New Roman"/>
          <w:sz w:val="24"/>
          <w:szCs w:val="24"/>
        </w:rPr>
        <w:t xml:space="preserve"> kezelik</w:t>
      </w:r>
      <w:r w:rsidRPr="007E723C">
        <w:rPr>
          <w:rFonts w:ascii="Georgia" w:hAnsi="Georgia" w:cs="Times New Roman"/>
          <w:sz w:val="24"/>
          <w:szCs w:val="24"/>
        </w:rPr>
        <w:t>.</w:t>
      </w:r>
    </w:p>
    <w:p w14:paraId="5C0C0505" w14:textId="3BA724A6" w:rsidR="00634801" w:rsidRPr="007E723C" w:rsidRDefault="00634801" w:rsidP="00FF7AC9">
      <w:pPr>
        <w:pStyle w:val="Cmsor3"/>
        <w:numPr>
          <w:ilvl w:val="2"/>
          <w:numId w:val="3"/>
        </w:numPr>
        <w:spacing w:after="160"/>
        <w:ind w:left="1701"/>
        <w:rPr>
          <w:rFonts w:ascii="Georgia" w:hAnsi="Georgia" w:cs="Times New Roman"/>
          <w:b/>
          <w:bCs/>
          <w:color w:val="auto"/>
        </w:rPr>
      </w:pPr>
      <w:bookmarkStart w:id="23" w:name="_Toc119421181"/>
      <w:r w:rsidRPr="007E723C">
        <w:rPr>
          <w:rFonts w:ascii="Georgia" w:hAnsi="Georgia" w:cs="Times New Roman"/>
          <w:b/>
          <w:bCs/>
          <w:color w:val="auto"/>
        </w:rPr>
        <w:t>A</w:t>
      </w:r>
      <w:r w:rsidR="0082364C" w:rsidRPr="007E723C">
        <w:rPr>
          <w:rFonts w:ascii="Georgia" w:hAnsi="Georgia" w:cs="Times New Roman"/>
          <w:b/>
          <w:bCs/>
          <w:color w:val="auto"/>
        </w:rPr>
        <w:t xml:space="preserve">z </w:t>
      </w:r>
      <w:r w:rsidRPr="007E723C">
        <w:rPr>
          <w:rFonts w:ascii="Georgia" w:hAnsi="Georgia" w:cs="Times New Roman"/>
          <w:b/>
          <w:bCs/>
          <w:color w:val="auto"/>
        </w:rPr>
        <w:t>indikátorok megbízhatósága</w:t>
      </w:r>
      <w:bookmarkEnd w:id="23"/>
    </w:p>
    <w:p w14:paraId="56650B9B" w14:textId="47DFF291" w:rsidR="00B824C7" w:rsidRPr="007E723C" w:rsidRDefault="00B824C7" w:rsidP="00AA41FB">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Az indikátorokhoz kapcsolódóan egyfelől a mérőszámok mérése, másfelől a minősítéshez szükséges mérőszámok kör</w:t>
      </w:r>
      <w:r w:rsidR="000967D3" w:rsidRPr="007E723C">
        <w:rPr>
          <w:rFonts w:ascii="Georgia" w:hAnsi="Georgia" w:cs="Times New Roman"/>
          <w:sz w:val="24"/>
          <w:szCs w:val="24"/>
        </w:rPr>
        <w:t>e</w:t>
      </w:r>
      <w:r w:rsidRPr="007E723C">
        <w:rPr>
          <w:rFonts w:ascii="Georgia" w:hAnsi="Georgia" w:cs="Times New Roman"/>
          <w:sz w:val="24"/>
          <w:szCs w:val="24"/>
        </w:rPr>
        <w:t xml:space="preserve"> adhat okot az ESG pontszámokkal szembeni bizalmatlanságra.</w:t>
      </w:r>
    </w:p>
    <w:p w14:paraId="7104729E" w14:textId="68A0AEE6" w:rsidR="00AA41FB" w:rsidRPr="007E723C" w:rsidRDefault="00AA41FB" w:rsidP="00AA41FB">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 xml:space="preserve">Egy mérés akkor tekinthető megbízhatónak, ha többször alkalmazva ugyanazt a választ adja. Bár ez triviálisnak tűnik, mégis sok nem pénzügyi teljesítménymutató esetében ez nem tekinthető adottnak. Ha egy kérdőívet különböző időpontokban, különböző személyek, ugyanazon cég különböző részlegeiben töltenek ki, a válaszok nagyon eltérőek lehetnek. Ezen túlmenően, mivel sok nem pénzügyi teljesítmény-felmérés a témakörök széles skáláját fedi le, </w:t>
      </w:r>
      <w:r w:rsidRPr="007E723C">
        <w:rPr>
          <w:rFonts w:ascii="Georgia" w:hAnsi="Georgia" w:cs="Times New Roman"/>
          <w:sz w:val="24"/>
          <w:szCs w:val="24"/>
        </w:rPr>
        <w:lastRenderedPageBreak/>
        <w:t>nem valószínű, hogy egy szervezetben egy személynél minden szükséges információ rendelkezésére áll. Így sok esetben előfordulhat, hogy a felmérésre adott válaszok minősége lényegében a különböző forrásokból származó információk koordinálására irányuló szervezeti erőfeszítésektől függ. Egy ehhez kapcsolódó probléma egy adott mérőszám</w:t>
      </w:r>
      <w:r w:rsidR="00B824C7" w:rsidRPr="007E723C">
        <w:rPr>
          <w:rFonts w:ascii="Georgia" w:hAnsi="Georgia" w:cs="Times New Roman"/>
          <w:sz w:val="24"/>
          <w:szCs w:val="24"/>
        </w:rPr>
        <w:t xml:space="preserve"> időbeli, illetve iparágon belüli </w:t>
      </w:r>
      <w:r w:rsidRPr="007E723C">
        <w:rPr>
          <w:rFonts w:ascii="Georgia" w:hAnsi="Georgia" w:cs="Times New Roman"/>
          <w:sz w:val="24"/>
          <w:szCs w:val="24"/>
        </w:rPr>
        <w:t>összehasonlíthatósága</w:t>
      </w:r>
      <w:r w:rsidR="00B824C7" w:rsidRPr="007E723C">
        <w:rPr>
          <w:rFonts w:ascii="Georgia" w:hAnsi="Georgia" w:cs="Times New Roman"/>
          <w:sz w:val="24"/>
          <w:szCs w:val="24"/>
        </w:rPr>
        <w:t xml:space="preserve"> is</w:t>
      </w:r>
      <w:r w:rsidRPr="007E723C">
        <w:rPr>
          <w:rFonts w:ascii="Georgia" w:hAnsi="Georgia" w:cs="Times New Roman"/>
          <w:sz w:val="24"/>
          <w:szCs w:val="24"/>
        </w:rPr>
        <w:t>. Sok környezetvédelmi teljesítménymutató</w:t>
      </w:r>
      <w:r w:rsidR="00B824C7" w:rsidRPr="007E723C">
        <w:rPr>
          <w:rFonts w:ascii="Georgia" w:hAnsi="Georgia" w:cs="Times New Roman"/>
          <w:sz w:val="24"/>
          <w:szCs w:val="24"/>
        </w:rPr>
        <w:t xml:space="preserve"> szenved </w:t>
      </w:r>
      <w:r w:rsidRPr="007E723C">
        <w:rPr>
          <w:rFonts w:ascii="Georgia" w:hAnsi="Georgia" w:cs="Times New Roman"/>
          <w:sz w:val="24"/>
          <w:szCs w:val="24"/>
        </w:rPr>
        <w:t xml:space="preserve">az összehasonlíthatóság hiányától, </w:t>
      </w:r>
      <w:r w:rsidR="00B824C7" w:rsidRPr="007E723C">
        <w:rPr>
          <w:rFonts w:ascii="Georgia" w:hAnsi="Georgia" w:cs="Times New Roman"/>
          <w:sz w:val="24"/>
          <w:szCs w:val="24"/>
        </w:rPr>
        <w:t>melynek hatására</w:t>
      </w:r>
      <w:r w:rsidRPr="007E723C">
        <w:rPr>
          <w:rFonts w:ascii="Georgia" w:hAnsi="Georgia" w:cs="Times New Roman"/>
          <w:sz w:val="24"/>
          <w:szCs w:val="24"/>
        </w:rPr>
        <w:t xml:space="preserve"> a legjobban teljesítőket nehéz megkülönböztetni. Hogyan kell összehasonlítani például a mérgező anyagok kibocsátását az egyes iparágakban? </w:t>
      </w:r>
      <w:r w:rsidRPr="007E723C">
        <w:rPr>
          <w:rFonts w:ascii="Georgia" w:hAnsi="Georgia" w:cs="Times New Roman"/>
          <w:sz w:val="24"/>
          <w:szCs w:val="24"/>
        </w:rPr>
        <w:fldChar w:fldCharType="begin"/>
      </w:r>
      <w:r w:rsidR="00B32E3A" w:rsidRPr="007E723C">
        <w:rPr>
          <w:rFonts w:ascii="Georgia" w:hAnsi="Georgia" w:cs="Times New Roman"/>
          <w:sz w:val="24"/>
          <w:szCs w:val="24"/>
        </w:rPr>
        <w:instrText xml:space="preserve"> ADDIN ZOTERO_ITEM CSL_CITATION {"citationID":"c6UBNTbf","properties":{"formattedCitation":"(A. Chatterji &amp; Levine, 2006)","plainCitation":"(A. Chatterji &amp; Levine, 2006)","noteIndex":0},"citationItems":[{"id":729,"uris":["http://zotero.org/users/9445126/items/MLM73NAJ"],"itemData":{"id":729,"type":"article-journal","container-title":"California Management Review","issue":"2","note":"publisher: SAGE Publications Sage CA: Los Angeles, CA","page":"29–51","source":"Google Scholar","title":"Breaking down the wall of codes: Evaluating non-financial performance measurement","title-short":"Breaking down the wall of codes","volume":"48","author":[{"family":"Chatterji","given":"Aaron"},{"family":"Levine","given":"David"}],"issued":{"date-parts":[["2006"]]}}}],"schema":"https://github.com/citation-style-language/schema/raw/master/csl-citation.json"} </w:instrText>
      </w:r>
      <w:r w:rsidRPr="007E723C">
        <w:rPr>
          <w:rFonts w:ascii="Georgia" w:hAnsi="Georgia" w:cs="Times New Roman"/>
          <w:sz w:val="24"/>
          <w:szCs w:val="24"/>
        </w:rPr>
        <w:fldChar w:fldCharType="separate"/>
      </w:r>
      <w:r w:rsidR="00B32E3A" w:rsidRPr="007E723C">
        <w:rPr>
          <w:rFonts w:ascii="Georgia" w:hAnsi="Georgia" w:cs="Times New Roman"/>
          <w:sz w:val="24"/>
          <w:szCs w:val="24"/>
        </w:rPr>
        <w:t>(A. Chatterji &amp; Levine, 2006)</w:t>
      </w:r>
      <w:r w:rsidRPr="007E723C">
        <w:rPr>
          <w:rFonts w:ascii="Georgia" w:hAnsi="Georgia" w:cs="Times New Roman"/>
          <w:sz w:val="24"/>
          <w:szCs w:val="24"/>
        </w:rPr>
        <w:fldChar w:fldCharType="end"/>
      </w:r>
      <w:r w:rsidR="00B824C7" w:rsidRPr="007E723C">
        <w:rPr>
          <w:rFonts w:ascii="Georgia" w:hAnsi="Georgia" w:cs="Times New Roman"/>
          <w:sz w:val="24"/>
          <w:szCs w:val="24"/>
        </w:rPr>
        <w:t>.</w:t>
      </w:r>
    </w:p>
    <w:p w14:paraId="480E45F2" w14:textId="6078C04A" w:rsidR="005F4965" w:rsidRPr="007E723C" w:rsidRDefault="00634801" w:rsidP="003267E1">
      <w:pPr>
        <w:spacing w:line="360" w:lineRule="auto"/>
        <w:ind w:firstLine="709"/>
        <w:jc w:val="both"/>
        <w:rPr>
          <w:rFonts w:ascii="Georgia" w:hAnsi="Georgia" w:cs="Times New Roman"/>
          <w:sz w:val="24"/>
          <w:szCs w:val="24"/>
        </w:rPr>
      </w:pPr>
      <w:r w:rsidRPr="007E723C">
        <w:rPr>
          <w:rFonts w:ascii="Georgia" w:hAnsi="Georgia" w:cs="Times New Roman"/>
          <w:sz w:val="24"/>
          <w:szCs w:val="24"/>
        </w:rPr>
        <w:t>A</w:t>
      </w:r>
      <w:r w:rsidR="00100052" w:rsidRPr="007E723C">
        <w:rPr>
          <w:rFonts w:ascii="Georgia" w:hAnsi="Georgia" w:cs="Times New Roman"/>
          <w:sz w:val="24"/>
          <w:szCs w:val="24"/>
        </w:rPr>
        <w:t xml:space="preserve"> minősítéseket illetően továbbra is </w:t>
      </w:r>
      <w:r w:rsidRPr="007E723C">
        <w:rPr>
          <w:rFonts w:ascii="Georgia" w:hAnsi="Georgia" w:cs="Times New Roman"/>
          <w:sz w:val="24"/>
          <w:szCs w:val="24"/>
        </w:rPr>
        <w:t>alapvető kérdés, hogy mely</w:t>
      </w:r>
      <w:r w:rsidR="00100052" w:rsidRPr="007E723C">
        <w:rPr>
          <w:rFonts w:ascii="Georgia" w:hAnsi="Georgia" w:cs="Times New Roman"/>
          <w:sz w:val="24"/>
          <w:szCs w:val="24"/>
        </w:rPr>
        <w:t>ek azok a</w:t>
      </w:r>
      <w:r w:rsidRPr="007E723C">
        <w:rPr>
          <w:rFonts w:ascii="Georgia" w:hAnsi="Georgia" w:cs="Times New Roman"/>
          <w:sz w:val="24"/>
          <w:szCs w:val="24"/>
        </w:rPr>
        <w:t xml:space="preserve"> mutatók vagy mérőszámok</w:t>
      </w:r>
      <w:r w:rsidR="00100052" w:rsidRPr="007E723C">
        <w:rPr>
          <w:rFonts w:ascii="Georgia" w:hAnsi="Georgia" w:cs="Times New Roman"/>
          <w:sz w:val="24"/>
          <w:szCs w:val="24"/>
        </w:rPr>
        <w:t>, amelyek a</w:t>
      </w:r>
      <w:r w:rsidRPr="007E723C">
        <w:rPr>
          <w:rFonts w:ascii="Georgia" w:hAnsi="Georgia" w:cs="Times New Roman"/>
          <w:sz w:val="24"/>
          <w:szCs w:val="24"/>
        </w:rPr>
        <w:t xml:space="preserve"> legjobb</w:t>
      </w:r>
      <w:r w:rsidR="00100052" w:rsidRPr="007E723C">
        <w:rPr>
          <w:rFonts w:ascii="Georgia" w:hAnsi="Georgia" w:cs="Times New Roman"/>
          <w:sz w:val="24"/>
          <w:szCs w:val="24"/>
        </w:rPr>
        <w:t xml:space="preserve"> mérői a vállalatok fenntarthatósági teljesítményének.</w:t>
      </w:r>
      <w:r w:rsidRPr="007E723C">
        <w:rPr>
          <w:rFonts w:ascii="Georgia" w:hAnsi="Georgia" w:cs="Times New Roman"/>
          <w:sz w:val="24"/>
          <w:szCs w:val="24"/>
        </w:rPr>
        <w:t xml:space="preserve"> </w:t>
      </w:r>
      <w:r w:rsidR="00100052" w:rsidRPr="007E723C">
        <w:rPr>
          <w:rFonts w:ascii="Georgia" w:hAnsi="Georgia" w:cs="Times New Roman"/>
          <w:sz w:val="24"/>
          <w:szCs w:val="24"/>
        </w:rPr>
        <w:t xml:space="preserve">Ezt azonban </w:t>
      </w:r>
      <w:r w:rsidRPr="007E723C">
        <w:rPr>
          <w:rFonts w:ascii="Georgia" w:hAnsi="Georgia" w:cs="Times New Roman"/>
          <w:sz w:val="24"/>
          <w:szCs w:val="24"/>
        </w:rPr>
        <w:t>nem könnyű megválaszolni. Az összetett mutatók (halmozott értékelések vagy ESG-pontszámok), amelyek az egyéni mutatók aggregálása révén jönnek létre, általános elfogadottságot nyertek</w:t>
      </w:r>
      <w:r w:rsidR="000967D3" w:rsidRPr="007E723C">
        <w:rPr>
          <w:rFonts w:ascii="Georgia" w:hAnsi="Georgia" w:cs="Times New Roman"/>
          <w:sz w:val="24"/>
          <w:szCs w:val="24"/>
        </w:rPr>
        <w:t xml:space="preserve"> az</w:t>
      </w:r>
      <w:r w:rsidR="00B824C7" w:rsidRPr="007E723C">
        <w:rPr>
          <w:rFonts w:ascii="Georgia" w:hAnsi="Georgia" w:cs="Times New Roman"/>
          <w:sz w:val="24"/>
          <w:szCs w:val="24"/>
        </w:rPr>
        <w:t xml:space="preserve"> utóbbi időben</w:t>
      </w:r>
      <w:r w:rsidRPr="007E723C">
        <w:rPr>
          <w:rFonts w:ascii="Georgia" w:hAnsi="Georgia" w:cs="Times New Roman"/>
          <w:sz w:val="24"/>
          <w:szCs w:val="24"/>
        </w:rPr>
        <w:t>, annak ellenére, hogy még mindig hiányoznak a hozzájuk kapcsolódó konkrét definíciós meghatározások és értékelési mérőszámok</w:t>
      </w:r>
      <w:r w:rsidR="000967D3" w:rsidRPr="007E723C">
        <w:rPr>
          <w:rFonts w:ascii="Georgia" w:hAnsi="Georgia" w:cs="Times New Roman"/>
          <w:sz w:val="24"/>
          <w:szCs w:val="24"/>
        </w:rPr>
        <w:t xml:space="preserve"> </w:t>
      </w:r>
      <w:r w:rsidRPr="007E723C">
        <w:rPr>
          <w:rFonts w:ascii="Georgia" w:hAnsi="Georgia" w:cs="Times New Roman"/>
          <w:sz w:val="24"/>
          <w:szCs w:val="24"/>
        </w:rPr>
        <w:t xml:space="preserve"> </w:t>
      </w:r>
      <w:r w:rsidR="000967D3" w:rsidRPr="007E723C">
        <w:rPr>
          <w:rFonts w:ascii="Georgia" w:hAnsi="Georgia" w:cs="Times New Roman"/>
          <w:sz w:val="24"/>
          <w:szCs w:val="24"/>
        </w:rPr>
        <w:fldChar w:fldCharType="begin"/>
      </w:r>
      <w:r w:rsidR="000967D3" w:rsidRPr="007E723C">
        <w:rPr>
          <w:rFonts w:ascii="Georgia" w:hAnsi="Georgia" w:cs="Times New Roman"/>
          <w:sz w:val="24"/>
          <w:szCs w:val="24"/>
        </w:rPr>
        <w:instrText xml:space="preserve"> ADDIN ZOTERO_ITEM CSL_CITATION {"citationID":"w6ISbE4C","properties":{"formattedCitation":"(Medel-Gonz\\uc0\\u225{}lez \\uc0\\u233{}s mtsai., 2013)","plainCitation":"(Medel-González és mtsai., 2013)","noteIndex":0},"citationItems":[{"id":795,"uris":["http://zotero.org/users/9445126/items/CE5S6ND3"],"itemData":{"id":795,"type":"chapter","container-title":"Sustainability appraisal: Quantitative methods and mathematical techniques for environmental performance evaluation","page":"33–61","publisher":"Springer","source":"Google Scholar","title":"Measuring and evaluating business sustainability: development and application of corporate index of sustainability performance","title-short":"Measuring and evaluating business sustainability","author":[{"family":"Medel-González","given":"Frank"},{"family":"García-Ávila","given":"Lourdes"},{"family":"Acosta-Beltrán","given":"Adael"},{"family":"Hernández","given":"Cecilia"}],"issued":{"date-parts":[["2013"]]}}}],"schema":"https://github.com/citation-style-language/schema/raw/master/csl-citation.json"} </w:instrText>
      </w:r>
      <w:r w:rsidR="000967D3" w:rsidRPr="007E723C">
        <w:rPr>
          <w:rFonts w:ascii="Georgia" w:hAnsi="Georgia" w:cs="Times New Roman"/>
          <w:sz w:val="24"/>
          <w:szCs w:val="24"/>
        </w:rPr>
        <w:fldChar w:fldCharType="separate"/>
      </w:r>
      <w:r w:rsidR="000967D3" w:rsidRPr="007E723C">
        <w:rPr>
          <w:rFonts w:ascii="Georgia" w:hAnsi="Georgia" w:cs="Times New Roman"/>
          <w:sz w:val="24"/>
          <w:szCs w:val="24"/>
        </w:rPr>
        <w:t>(Medel-González és mtsai., 2013)</w:t>
      </w:r>
      <w:r w:rsidR="000967D3" w:rsidRPr="007E723C">
        <w:rPr>
          <w:rFonts w:ascii="Georgia" w:hAnsi="Georgia" w:cs="Times New Roman"/>
          <w:sz w:val="24"/>
          <w:szCs w:val="24"/>
        </w:rPr>
        <w:fldChar w:fldCharType="end"/>
      </w:r>
      <w:r w:rsidR="000967D3" w:rsidRPr="007E723C">
        <w:rPr>
          <w:rFonts w:ascii="Georgia" w:hAnsi="Georgia" w:cs="Times New Roman"/>
          <w:sz w:val="24"/>
          <w:szCs w:val="24"/>
        </w:rPr>
        <w:t xml:space="preserve">. </w:t>
      </w:r>
      <w:r w:rsidRPr="007E723C">
        <w:rPr>
          <w:rFonts w:ascii="Georgia" w:hAnsi="Georgia" w:cs="Times New Roman"/>
          <w:sz w:val="24"/>
          <w:szCs w:val="24"/>
        </w:rPr>
        <w:t>Kocmanova és m</w:t>
      </w:r>
      <w:r w:rsidR="00D62886" w:rsidRPr="007E723C">
        <w:rPr>
          <w:rFonts w:ascii="Georgia" w:hAnsi="Georgia" w:cs="Times New Roman"/>
          <w:sz w:val="24"/>
          <w:szCs w:val="24"/>
        </w:rPr>
        <w:t>unkatársai</w:t>
      </w:r>
      <w:r w:rsidRPr="007E723C">
        <w:rPr>
          <w:rFonts w:ascii="Georgia" w:hAnsi="Georgia" w:cs="Times New Roman"/>
          <w:sz w:val="24"/>
          <w:szCs w:val="24"/>
        </w:rPr>
        <w:t xml:space="preserve"> </w:t>
      </w:r>
      <w:r w:rsidR="00D62886" w:rsidRPr="007E723C">
        <w:rPr>
          <w:rFonts w:ascii="Georgia" w:hAnsi="Georgia" w:cs="Times New Roman"/>
          <w:sz w:val="24"/>
          <w:szCs w:val="24"/>
        </w:rPr>
        <w:fldChar w:fldCharType="begin"/>
      </w:r>
      <w:r w:rsidR="00D62886" w:rsidRPr="007E723C">
        <w:rPr>
          <w:rFonts w:ascii="Georgia" w:hAnsi="Georgia" w:cs="Times New Roman"/>
          <w:sz w:val="24"/>
          <w:szCs w:val="24"/>
        </w:rPr>
        <w:instrText xml:space="preserve"> ADDIN ZOTERO_ITEM CSL_CITATION {"citationID":"Nwt1x2Sb","properties":{"formattedCitation":"(2017)","plainCitation":"(2017)","noteIndex":0},"citationItems":[{"id":510,"uris":["http://zotero.org/users/9445126/items/36IZ3C6R"],"itemData":{"id":510,"type":"article-journal","abstract":"This paper discusses the measurement and assessment of corporate sustainability by a composite indicator. The aim of the paper is a construction of a composite indicator “Index corporate sustainability“ (ICS). A tool for measuring and assessing corporate sustainability is an appropriately designed model called the “Sustainable Environmental, Social, Governance and Economic Model (SEESG Model)”. The composite indicator Ics integrates 5 financial (economic) and 14 non-financial, environmental, social and corporate governance (ESG) performance indicators Iji, which are determined in a stepwise fashion from a basic set of performance indicators using the principal component analysis (PCA) modelling. The composite indicator Ics is one of the possible ways to create a tool for measuring and assessing corporate sustainability that allows for the assessment of companies by a set of financial and non-financial indicators in various areas of their performance, thus enabling a detailed analysis and determination of the impact of various performance areas and factors in complex corporate performance. An important characteristic of the composite indicator is the possibility to easily make comparisons and rankings of companies in a particular sector, and estimate whether they are heading towards sustainability. The use of benchmarking for company-to-company comparisons makes it possible to interpret summary information and to quantify differences in the performance of individual companies using graphic visualization. For this reason, Ics can be offered as a consistent and flexible benchmarking for owners, managers and investors. Using this indicator, they can incorporate sustainability into their decision-making processes, and achieve economic growth and ensure protection of the environment and social values. © 2017, Kauno Technologijos Universitetas. All rights reserved.","archive":"Scopus","container-title":"Engineering Economics","DOI":"10.5755/j01.ee.28.1.15323","ISSN":"1392-2785","issue":"1","language":"English","page":"88-100","source":"Scopus","title":"Corporate sustainability measurement and assessment of Czech manufacturing companies using a composite indicator","volume":"28","author":[{"family":"Kocmanova","given":"A."},{"family":"Docekalova","given":"M.P."},{"family":"Simanaviciene","given":"Z."}],"issued":{"date-parts":[["2017"]]}},"label":"page","suppress-author":true}],"schema":"https://github.com/citation-style-language/schema/raw/master/csl-citation.json"} </w:instrText>
      </w:r>
      <w:r w:rsidR="00D62886" w:rsidRPr="007E723C">
        <w:rPr>
          <w:rFonts w:ascii="Georgia" w:hAnsi="Georgia" w:cs="Times New Roman"/>
          <w:sz w:val="24"/>
          <w:szCs w:val="24"/>
        </w:rPr>
        <w:fldChar w:fldCharType="separate"/>
      </w:r>
      <w:r w:rsidR="00D62886" w:rsidRPr="007E723C">
        <w:rPr>
          <w:rFonts w:ascii="Georgia" w:hAnsi="Georgia" w:cs="Times New Roman"/>
          <w:sz w:val="24"/>
          <w:szCs w:val="24"/>
        </w:rPr>
        <w:t>(2017)</w:t>
      </w:r>
      <w:r w:rsidR="00D62886" w:rsidRPr="007E723C">
        <w:rPr>
          <w:rFonts w:ascii="Georgia" w:hAnsi="Georgia" w:cs="Times New Roman"/>
          <w:sz w:val="24"/>
          <w:szCs w:val="24"/>
        </w:rPr>
        <w:fldChar w:fldCharType="end"/>
      </w:r>
      <w:r w:rsidRPr="007E723C">
        <w:rPr>
          <w:rFonts w:ascii="Georgia" w:hAnsi="Georgia" w:cs="Times New Roman"/>
          <w:sz w:val="24"/>
          <w:szCs w:val="24"/>
        </w:rPr>
        <w:t xml:space="preserve"> is egyetértettek abban, hogy a fenntarthatóság egy olyan jelenség, melyet nem lehet egyszerűen egy mutatószám segítségével mérni, hanem összetett mutatók használatára van szükség. Ennek hátránya azonban, hogy ki kell alakítani egy megfelelő felépített indikátorrendszert és meg kell találni az egyes indikátorokhoz tartozó súlyokat is. Éppen ezért kutatásuk részeként kísérletet tettek arra, hogy faktoranalízis segítségével feltárják azokat a tényezőket, amelyek alkalmasak arra, hogy a vállalatok ESG teljesítményét számszerűsítsék. Elemzésükben összesen 39 pénzügyi és nem pénzügyi indikátort használtak, eredményül pedig létrehozták a SEESG modellt.</w:t>
      </w:r>
    </w:p>
    <w:p w14:paraId="7D5ADC01" w14:textId="7F98C1BA" w:rsidR="005F4965" w:rsidRPr="007E723C" w:rsidRDefault="005F4965" w:rsidP="00FF7AC9">
      <w:pPr>
        <w:pStyle w:val="Cmsor3"/>
        <w:numPr>
          <w:ilvl w:val="2"/>
          <w:numId w:val="3"/>
        </w:numPr>
        <w:spacing w:after="160"/>
        <w:ind w:left="1701"/>
        <w:rPr>
          <w:rFonts w:ascii="Georgia" w:hAnsi="Georgia" w:cs="Times New Roman"/>
          <w:b/>
          <w:bCs/>
          <w:color w:val="auto"/>
        </w:rPr>
      </w:pPr>
      <w:bookmarkStart w:id="24" w:name="_Toc119421182"/>
      <w:r w:rsidRPr="007E723C">
        <w:rPr>
          <w:rFonts w:ascii="Georgia" w:hAnsi="Georgia" w:cs="Times New Roman"/>
          <w:b/>
          <w:bCs/>
          <w:color w:val="auto"/>
        </w:rPr>
        <w:t>A</w:t>
      </w:r>
      <w:r w:rsidR="0082364C" w:rsidRPr="007E723C">
        <w:rPr>
          <w:rFonts w:ascii="Georgia" w:hAnsi="Georgia" w:cs="Times New Roman"/>
          <w:b/>
          <w:bCs/>
          <w:color w:val="auto"/>
        </w:rPr>
        <w:t>z alkalmazott</w:t>
      </w:r>
      <w:r w:rsidRPr="007E723C">
        <w:rPr>
          <w:rFonts w:ascii="Georgia" w:hAnsi="Georgia" w:cs="Times New Roman"/>
          <w:b/>
          <w:bCs/>
          <w:color w:val="auto"/>
        </w:rPr>
        <w:t xml:space="preserve"> mérési módszertan megbízhatósága</w:t>
      </w:r>
      <w:bookmarkEnd w:id="24"/>
    </w:p>
    <w:p w14:paraId="2064B61D" w14:textId="438B3AA3" w:rsidR="00C22508" w:rsidRPr="007E723C" w:rsidRDefault="00A601EC" w:rsidP="00A601EC">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fent bemutatott hiányosságokon túl</w:t>
      </w:r>
      <w:r w:rsidR="00CC1C86" w:rsidRPr="007E723C">
        <w:rPr>
          <w:rFonts w:ascii="Georgia" w:hAnsi="Georgia" w:cs="Times New Roman"/>
          <w:sz w:val="24"/>
          <w:szCs w:val="24"/>
        </w:rPr>
        <w:t xml:space="preserve"> egy másik tényező, ami ronthatja a különböző értékelő cégek által kiadott ESG pontszámok összehasonlíthatóságát, hogy </w:t>
      </w:r>
      <w:r w:rsidRPr="007E723C">
        <w:rPr>
          <w:rFonts w:ascii="Georgia" w:hAnsi="Georgia" w:cs="Times New Roman"/>
          <w:sz w:val="24"/>
          <w:szCs w:val="24"/>
        </w:rPr>
        <w:t xml:space="preserve">a minősítő cégek jellemzően </w:t>
      </w:r>
      <w:r w:rsidR="00CC1C86" w:rsidRPr="007E723C">
        <w:rPr>
          <w:rFonts w:ascii="Georgia" w:hAnsi="Georgia" w:cs="Times New Roman"/>
          <w:sz w:val="24"/>
          <w:szCs w:val="24"/>
        </w:rPr>
        <w:t xml:space="preserve">eltérő módszertant és megközelítést alkalmaznak. Ennek során nem csak arra kell gondolni, hogy pontosan milyen mutatókkal próbálják meg felmérni a fenntarthatósági teljesítményt, hanem arra is, hogy milyen súlyozással veszik figyelembe az egyes indikátorokat </w:t>
      </w:r>
      <w:r w:rsidR="00CC1C86" w:rsidRPr="007E723C">
        <w:rPr>
          <w:rFonts w:ascii="Georgia" w:hAnsi="Georgia" w:cs="Times New Roman"/>
          <w:sz w:val="24"/>
          <w:szCs w:val="24"/>
        </w:rPr>
        <w:fldChar w:fldCharType="begin"/>
      </w:r>
      <w:r w:rsidR="00CC1C86" w:rsidRPr="007E723C">
        <w:rPr>
          <w:rFonts w:ascii="Georgia" w:hAnsi="Georgia" w:cs="Times New Roman"/>
          <w:sz w:val="24"/>
          <w:szCs w:val="24"/>
        </w:rPr>
        <w:instrText xml:space="preserve"> ADDIN ZOTERO_ITEM CSL_CITATION {"citationID":"p8Kh6mHf","properties":{"formattedCitation":"(Gy\\uc0\\u246{}ny\\uc0\\u246{}rov\\uc0\\u225{} \\uc0\\u233{}s mtsai., 2021)","plainCitation":"(Gyönyörová és mtsai., 2021)","noteIndex":0},"citationItems":[{"id":355,"uris":["http://zotero.org/users/9445126/items/BUCA8QNF"],"itemData":{"id":355,"type":"article-journal","abstract":"Environmental, social, and corporate governance (ESG) scores are frequently involved in investment-related decision-making, e.g. for red-flagging or to manage risks. The increasing interest in ESG data raises the question about their validity from various sources. Therefore, we explore the consistency and convergent validity of the well recognized ESG data providers. Exploratory factor analysis of S&amp;P Global 1200 index demonstrates considerable uncertainty across extracted latent factors. Further factor analyses show that the consistency and convergent validity across ESG data significantly depend on the industry type and the country of domicile. These findings are supported by confirmatory factor analyses. Thus, the stakeholders are encouraged to incorporate the company sector and domicile aspects into their decisions. Otherwise, naive use of primary ESG scores may provide a misleading clue. © 2021 Masaryk University.","container-title":"Journal of Sustainable Finance and Investment","DOI":"10.1080/20430795.2021.1922062","title":"ESG ratings: relevant information or misleading clue? Evidence from the S&amp;P Global 1200","URL":"https://www.scopus.com/inward/record.uri?eid=2-s2.0-85106344511&amp;doi=10.1080%2f20430795.2021.1922062&amp;partnerID=40&amp;md5=28e565dd813e46c801737fa2c70a66a7","author":[{"family":"Gyönyörová","given":"L."},{"family":"Stachoň","given":"M."},{"family":"Stašek","given":"D."}],"issued":{"date-parts":[["2021"]]}}}],"schema":"https://github.com/citation-style-language/schema/raw/master/csl-citation.json"} </w:instrText>
      </w:r>
      <w:r w:rsidR="00CC1C86" w:rsidRPr="007E723C">
        <w:rPr>
          <w:rFonts w:ascii="Georgia" w:hAnsi="Georgia" w:cs="Times New Roman"/>
          <w:sz w:val="24"/>
          <w:szCs w:val="24"/>
        </w:rPr>
        <w:fldChar w:fldCharType="separate"/>
      </w:r>
      <w:r w:rsidR="00CC1C86" w:rsidRPr="007E723C">
        <w:rPr>
          <w:rFonts w:ascii="Georgia" w:hAnsi="Georgia" w:cs="Times New Roman"/>
          <w:sz w:val="24"/>
          <w:szCs w:val="24"/>
        </w:rPr>
        <w:t>(Gyönyörová és mtsai., 2021)</w:t>
      </w:r>
      <w:r w:rsidR="00CC1C86" w:rsidRPr="007E723C">
        <w:rPr>
          <w:rFonts w:ascii="Georgia" w:hAnsi="Georgia" w:cs="Times New Roman"/>
          <w:sz w:val="24"/>
          <w:szCs w:val="24"/>
        </w:rPr>
        <w:fldChar w:fldCharType="end"/>
      </w:r>
      <w:r w:rsidR="00CC1C86" w:rsidRPr="007E723C">
        <w:rPr>
          <w:rFonts w:ascii="Georgia" w:hAnsi="Georgia" w:cs="Times New Roman"/>
          <w:sz w:val="24"/>
          <w:szCs w:val="24"/>
        </w:rPr>
        <w:t xml:space="preserve">. </w:t>
      </w:r>
      <w:r w:rsidR="000967D3" w:rsidRPr="007E723C">
        <w:rPr>
          <w:rFonts w:ascii="Georgia" w:hAnsi="Georgia" w:cs="Times New Roman"/>
          <w:sz w:val="24"/>
          <w:szCs w:val="24"/>
        </w:rPr>
        <w:t>Walter</w:t>
      </w:r>
      <w:r w:rsidR="005F27CA" w:rsidRPr="007E723C">
        <w:rPr>
          <w:rFonts w:ascii="Georgia" w:hAnsi="Georgia" w:cs="Times New Roman"/>
          <w:sz w:val="24"/>
          <w:szCs w:val="24"/>
        </w:rPr>
        <w:t xml:space="preserve"> </w:t>
      </w:r>
      <w:r w:rsidR="000967D3" w:rsidRPr="007E723C">
        <w:rPr>
          <w:rFonts w:ascii="Georgia" w:hAnsi="Georgia" w:cs="Times New Roman"/>
          <w:sz w:val="24"/>
          <w:szCs w:val="24"/>
        </w:rPr>
        <w:fldChar w:fldCharType="begin"/>
      </w:r>
      <w:r w:rsidR="000967D3" w:rsidRPr="007E723C">
        <w:rPr>
          <w:rFonts w:ascii="Georgia" w:hAnsi="Georgia" w:cs="Times New Roman"/>
          <w:sz w:val="24"/>
          <w:szCs w:val="24"/>
        </w:rPr>
        <w:instrText xml:space="preserve"> ADDIN ZOTERO_ITEM CSL_CITATION {"citationID":"yO0M9ONt","properties":{"formattedCitation":"(2020)","plainCitation":"(2020)","noteIndex":0},"citationItems":[{"id":373,"uris":["http://zotero.org/users/9445126/items/CCV28FCR"],"itemData":{"id":373,"type":"article-journal","abstract":"Concerns about the future of the natural environment, prevailing social conditions, and governance of private and public institutions inspire today's ESG movement. This paper proposes a heuristic that can be useful in examining the ESG-scoring issue. We begin with a social control diagnostic covering business activities - one that addresses the interests and actions of various stakeholders in the system. We examine its dynamics in the context of economic, social, and political pressures, including various initiatives to set standards against which business conduct may be calibrated. We evaluate efforts to create metrics that reflect normative improvements in ESG outcomes and performance scoring against them. We assess the industrial organization of the ESG ratings industry and review key empirical studies of ESG-driven investing. We conclude with policy recommendations intended to alleviate existing shortcomings in ESG ratings and improve their role in capital allocation and corporate governance. © 2020 I. Walter","container-title":"Journal of Law, Finance, and Accounting","DOI":"10.1561/108.00000049","issue":"2","page":"307-336","title":"Sense and nonsense in ESG ratings","volume":"5","author":[{"family":"Walter","given":"I."}],"issued":{"date-parts":[["2020"]]}},"label":"page","suppress-author":true}],"schema":"https://github.com/citation-style-language/schema/raw/master/csl-citation.json"} </w:instrText>
      </w:r>
      <w:r w:rsidR="000967D3" w:rsidRPr="007E723C">
        <w:rPr>
          <w:rFonts w:ascii="Georgia" w:hAnsi="Georgia" w:cs="Times New Roman"/>
          <w:sz w:val="24"/>
          <w:szCs w:val="24"/>
        </w:rPr>
        <w:fldChar w:fldCharType="separate"/>
      </w:r>
      <w:r w:rsidR="000967D3" w:rsidRPr="007E723C">
        <w:rPr>
          <w:rFonts w:ascii="Georgia" w:hAnsi="Georgia" w:cs="Times New Roman"/>
          <w:sz w:val="24"/>
          <w:szCs w:val="24"/>
        </w:rPr>
        <w:t>(2020)</w:t>
      </w:r>
      <w:r w:rsidR="000967D3" w:rsidRPr="007E723C">
        <w:rPr>
          <w:rFonts w:ascii="Georgia" w:hAnsi="Georgia" w:cs="Times New Roman"/>
          <w:sz w:val="24"/>
          <w:szCs w:val="24"/>
        </w:rPr>
        <w:fldChar w:fldCharType="end"/>
      </w:r>
      <w:r w:rsidR="005F27CA" w:rsidRPr="007E723C">
        <w:rPr>
          <w:rFonts w:ascii="Georgia" w:hAnsi="Georgia" w:cs="Times New Roman"/>
          <w:sz w:val="24"/>
          <w:szCs w:val="24"/>
        </w:rPr>
        <w:t xml:space="preserve"> arra hívja fel a figyelmet, hogy a minősítések </w:t>
      </w:r>
      <w:r w:rsidR="005F27CA" w:rsidRPr="007E723C">
        <w:rPr>
          <w:rFonts w:ascii="Georgia" w:hAnsi="Georgia" w:cs="Times New Roman"/>
          <w:sz w:val="24"/>
          <w:szCs w:val="24"/>
        </w:rPr>
        <w:lastRenderedPageBreak/>
        <w:t xml:space="preserve">közötti különbség nemcsak a különböző </w:t>
      </w:r>
      <w:r w:rsidR="00C22508" w:rsidRPr="007E723C">
        <w:rPr>
          <w:rFonts w:ascii="Georgia" w:hAnsi="Georgia" w:cs="Times New Roman"/>
          <w:sz w:val="24"/>
          <w:szCs w:val="24"/>
        </w:rPr>
        <w:t>indikátorok</w:t>
      </w:r>
      <w:r w:rsidR="005F27CA" w:rsidRPr="007E723C">
        <w:rPr>
          <w:rFonts w:ascii="Georgia" w:hAnsi="Georgia" w:cs="Times New Roman"/>
          <w:sz w:val="24"/>
          <w:szCs w:val="24"/>
        </w:rPr>
        <w:t xml:space="preserve"> mérésében rejlik, hanem abban is, hogy milyen szempontok</w:t>
      </w:r>
      <w:r w:rsidR="00C22508" w:rsidRPr="007E723C">
        <w:rPr>
          <w:rFonts w:ascii="Georgia" w:hAnsi="Georgia" w:cs="Times New Roman"/>
          <w:sz w:val="24"/>
          <w:szCs w:val="24"/>
        </w:rPr>
        <w:t xml:space="preserve">at vesznek figyelembe </w:t>
      </w:r>
      <w:r w:rsidR="005F27CA" w:rsidRPr="007E723C">
        <w:rPr>
          <w:rFonts w:ascii="Georgia" w:hAnsi="Georgia" w:cs="Times New Roman"/>
          <w:sz w:val="24"/>
          <w:szCs w:val="24"/>
        </w:rPr>
        <w:t xml:space="preserve">az értékeléshez, és milyen mértékben </w:t>
      </w:r>
      <w:r w:rsidRPr="007E723C">
        <w:rPr>
          <w:rFonts w:ascii="Georgia" w:hAnsi="Georgia" w:cs="Times New Roman"/>
          <w:sz w:val="24"/>
          <w:szCs w:val="24"/>
        </w:rPr>
        <w:t>építik be azokat</w:t>
      </w:r>
      <w:r w:rsidR="005F27CA" w:rsidRPr="007E723C">
        <w:rPr>
          <w:rFonts w:ascii="Georgia" w:hAnsi="Georgia" w:cs="Times New Roman"/>
          <w:sz w:val="24"/>
          <w:szCs w:val="24"/>
        </w:rPr>
        <w:t xml:space="preserve"> a minősítési rendszer</w:t>
      </w:r>
      <w:r w:rsidRPr="007E723C">
        <w:rPr>
          <w:rFonts w:ascii="Georgia" w:hAnsi="Georgia" w:cs="Times New Roman"/>
          <w:sz w:val="24"/>
          <w:szCs w:val="24"/>
        </w:rPr>
        <w:t>ek</w:t>
      </w:r>
      <w:r w:rsidR="005F27CA" w:rsidRPr="007E723C">
        <w:rPr>
          <w:rFonts w:ascii="Georgia" w:hAnsi="Georgia" w:cs="Times New Roman"/>
          <w:sz w:val="24"/>
          <w:szCs w:val="24"/>
        </w:rPr>
        <w:t>be. Az indikátorok, algoritmusok és minőségi, szabadalmaztatott értékelési technikák átláthatósága</w:t>
      </w:r>
      <w:r w:rsidRPr="007E723C">
        <w:rPr>
          <w:rFonts w:ascii="Georgia" w:hAnsi="Georgia" w:cs="Times New Roman"/>
          <w:sz w:val="24"/>
          <w:szCs w:val="24"/>
        </w:rPr>
        <w:t xml:space="preserve"> azonban</w:t>
      </w:r>
      <w:r w:rsidR="005F27CA" w:rsidRPr="007E723C">
        <w:rPr>
          <w:rFonts w:ascii="Georgia" w:hAnsi="Georgia" w:cs="Times New Roman"/>
          <w:sz w:val="24"/>
          <w:szCs w:val="24"/>
        </w:rPr>
        <w:t xml:space="preserve"> korlátozott. Ez részben az adatszolgáltatók közötti verseny eszközeként</w:t>
      </w:r>
      <w:r w:rsidR="00C22508" w:rsidRPr="007E723C">
        <w:rPr>
          <w:rFonts w:ascii="Georgia" w:hAnsi="Georgia" w:cs="Times New Roman"/>
          <w:sz w:val="24"/>
          <w:szCs w:val="24"/>
        </w:rPr>
        <w:t xml:space="preserve"> is</w:t>
      </w:r>
      <w:r w:rsidR="005F27CA" w:rsidRPr="007E723C">
        <w:rPr>
          <w:rFonts w:ascii="Georgia" w:hAnsi="Georgia" w:cs="Times New Roman"/>
          <w:sz w:val="24"/>
          <w:szCs w:val="24"/>
        </w:rPr>
        <w:t xml:space="preserve"> értelmezhető</w:t>
      </w:r>
      <w:r w:rsidR="00C22508" w:rsidRPr="007E723C">
        <w:rPr>
          <w:rFonts w:ascii="Georgia" w:hAnsi="Georgia" w:cs="Times New Roman"/>
          <w:sz w:val="24"/>
          <w:szCs w:val="24"/>
        </w:rPr>
        <w:t>. Douglas</w:t>
      </w:r>
      <w:r w:rsidR="004843BC" w:rsidRPr="007E723C">
        <w:rPr>
          <w:rFonts w:ascii="Georgia" w:hAnsi="Georgia" w:cs="Times New Roman"/>
          <w:sz w:val="24"/>
          <w:szCs w:val="24"/>
        </w:rPr>
        <w:t xml:space="preserve"> és munkatársai </w:t>
      </w:r>
      <w:r w:rsidR="004843BC" w:rsidRPr="007E723C">
        <w:rPr>
          <w:rFonts w:ascii="Georgia" w:hAnsi="Georgia" w:cs="Times New Roman"/>
          <w:sz w:val="24"/>
          <w:szCs w:val="24"/>
        </w:rPr>
        <w:fldChar w:fldCharType="begin"/>
      </w:r>
      <w:r w:rsidR="004843BC" w:rsidRPr="007E723C">
        <w:rPr>
          <w:rFonts w:ascii="Georgia" w:hAnsi="Georgia" w:cs="Times New Roman"/>
          <w:sz w:val="24"/>
          <w:szCs w:val="24"/>
        </w:rPr>
        <w:instrText xml:space="preserve"> ADDIN ZOTERO_ITEM CSL_CITATION {"citationID":"syzQ5LHB","properties":{"formattedCitation":"(2017)","plainCitation":"(2017)","noteIndex":0},"citationItems":[{"id":545,"uris":["http://zotero.org/users/9445126/items/MZIUCDP8"],"itemData":{"id":545,"type":"article-journal","container-title":"Journal of Environmental Investing","issue":"1","page":"91–114","source":"Google Scholar","title":"Responsible investing: Guide to ESG data providers and relevant trends","title-short":"Responsible investing","volume":"8","author":[{"family":"Douglas","given":"Elyse"},{"family":"Van Holt","given":"Tracy"},{"family":"Whelan","given":"Tensie"}],"issued":{"date-parts":[["2017"]]}},"label":"page","suppress-author":true}],"schema":"https://github.com/citation-style-language/schema/raw/master/csl-citation.json"} </w:instrText>
      </w:r>
      <w:r w:rsidR="004843BC" w:rsidRPr="007E723C">
        <w:rPr>
          <w:rFonts w:ascii="Georgia" w:hAnsi="Georgia" w:cs="Times New Roman"/>
          <w:sz w:val="24"/>
          <w:szCs w:val="24"/>
        </w:rPr>
        <w:fldChar w:fldCharType="separate"/>
      </w:r>
      <w:r w:rsidR="004843BC" w:rsidRPr="007E723C">
        <w:rPr>
          <w:rFonts w:ascii="Georgia" w:hAnsi="Georgia" w:cs="Times New Roman"/>
          <w:sz w:val="24"/>
          <w:szCs w:val="24"/>
        </w:rPr>
        <w:t>(2017)</w:t>
      </w:r>
      <w:r w:rsidR="004843BC" w:rsidRPr="007E723C">
        <w:rPr>
          <w:rFonts w:ascii="Georgia" w:hAnsi="Georgia" w:cs="Times New Roman"/>
          <w:sz w:val="24"/>
          <w:szCs w:val="24"/>
        </w:rPr>
        <w:fldChar w:fldCharType="end"/>
      </w:r>
      <w:r w:rsidR="00C22508" w:rsidRPr="007E723C">
        <w:rPr>
          <w:rFonts w:ascii="Georgia" w:hAnsi="Georgia" w:cs="Times New Roman"/>
          <w:sz w:val="24"/>
          <w:szCs w:val="24"/>
        </w:rPr>
        <w:t xml:space="preserve"> 17 fő ESG-minősítési szolgáltató módszertanát tekintették át, és dokumentálták átláthatatlanságukat azzal kapcsolatban, hogy mely mérőszámok kerültek beépítésre és milyen súlyozással. Hasonló eredményre jutottak Berg és munkatársai </w:t>
      </w:r>
      <w:r w:rsidR="00C22508" w:rsidRPr="007E723C">
        <w:rPr>
          <w:rFonts w:ascii="Georgia" w:hAnsi="Georgia" w:cs="Times New Roman"/>
          <w:sz w:val="24"/>
          <w:szCs w:val="24"/>
        </w:rPr>
        <w:fldChar w:fldCharType="begin"/>
      </w:r>
      <w:r w:rsidR="00C22508" w:rsidRPr="007E723C">
        <w:rPr>
          <w:rFonts w:ascii="Georgia" w:hAnsi="Georgia" w:cs="Times New Roman"/>
          <w:sz w:val="24"/>
          <w:szCs w:val="24"/>
        </w:rPr>
        <w:instrText xml:space="preserve"> ADDIN ZOTERO_ITEM CSL_CITATION {"citationID":"1ZenrBBV","properties":{"formattedCitation":"(2019)","plainCitation":"(2019)","noteIndex":0},"citationItems":[{"id":196,"uris":["http://zotero.org/users/9445126/items/8N4QNH4A"],"itemData":{"id":196,"type":"article-journal","container-title":"Corporate Governance &amp; Finance eJournal","title":"Aggregate Confusion: The Divergence of ESG Ratings","author":[{"family":"Berg","given":"Florian"},{"family":"Kölbel","given":"Julian F."},{"family":"Rigobr n","given":"Roberto"}],"issued":{"date-parts":[["2019"]]}},"label":"page","suppress-author":true}],"schema":"https://github.com/citation-style-language/schema/raw/master/csl-citation.json"} </w:instrText>
      </w:r>
      <w:r w:rsidR="00C22508" w:rsidRPr="007E723C">
        <w:rPr>
          <w:rFonts w:ascii="Georgia" w:hAnsi="Georgia" w:cs="Times New Roman"/>
          <w:sz w:val="24"/>
          <w:szCs w:val="24"/>
        </w:rPr>
        <w:fldChar w:fldCharType="separate"/>
      </w:r>
      <w:r w:rsidR="00C22508" w:rsidRPr="007E723C">
        <w:rPr>
          <w:rFonts w:ascii="Georgia" w:hAnsi="Georgia" w:cs="Times New Roman"/>
          <w:sz w:val="24"/>
          <w:szCs w:val="24"/>
        </w:rPr>
        <w:t>(2019)</w:t>
      </w:r>
      <w:r w:rsidR="00C22508" w:rsidRPr="007E723C">
        <w:rPr>
          <w:rFonts w:ascii="Georgia" w:hAnsi="Georgia" w:cs="Times New Roman"/>
          <w:sz w:val="24"/>
          <w:szCs w:val="24"/>
        </w:rPr>
        <w:fldChar w:fldCharType="end"/>
      </w:r>
      <w:r w:rsidR="00C22508" w:rsidRPr="007E723C">
        <w:rPr>
          <w:rFonts w:ascii="Georgia" w:hAnsi="Georgia" w:cs="Times New Roman"/>
          <w:sz w:val="24"/>
          <w:szCs w:val="24"/>
        </w:rPr>
        <w:t xml:space="preserve">, illetve Capizzi és munkatársai </w:t>
      </w:r>
      <w:r w:rsidR="00C22508" w:rsidRPr="007E723C">
        <w:rPr>
          <w:rFonts w:ascii="Georgia" w:hAnsi="Georgia" w:cs="Times New Roman"/>
          <w:sz w:val="24"/>
          <w:szCs w:val="24"/>
        </w:rPr>
        <w:fldChar w:fldCharType="begin"/>
      </w:r>
      <w:r w:rsidR="00C22508" w:rsidRPr="007E723C">
        <w:rPr>
          <w:rFonts w:ascii="Georgia" w:hAnsi="Georgia" w:cs="Times New Roman"/>
          <w:sz w:val="24"/>
          <w:szCs w:val="24"/>
        </w:rPr>
        <w:instrText xml:space="preserve"> ADDIN ZOTERO_ITEM CSL_CITATION {"citationID":"u192bhgU","properties":{"formattedCitation":"(2021)","plainCitation":"(2021)","noteIndex":0},"citationItems":[{"id":203,"uris":["http://zotero.org/users/9445126/items/2IBGE8KD"],"itemData":{"id":203,"type":"article-journal","abstract":"The increasing attention to sustainability issues in finance has brought a proliferation of environmental, social, and governance (ESG) metrics and rating providers that results in divergences among the ESG ratings. Based on a sample of Italian listed firms, this paper investigates these divergences through a framework that decomposes ESG ratings into a value and a weight component at the pillar (i.e. E, S, and G) and category (i.e. sub-pillar) levels. We find that weights divergence and social and governance indicators are the main drivers of rating divergences. The research contributes to develop a new tool for analyzing ESG divergences and provides a number of recommendations for researchers and practitioners, stressing the need to understand what is really measured by the ESG rating agencies and the need for standardization and transparency of ESG measurement to favor a more homogeneous set of indicators.","container-title":"Journal of Financial Management, Markets and Institutions","DOI":"10.1142/S2282717X21500067","issue":"02","journalAbbreviation":"J. Fin. Mngt. Mar. Inst.","note":"publisher: World Scientific Publishing Co.","page":"2150006","title":"The divergence of ESG ratings: An analysis of Italian listed companies","volume":"09","author":[{"family":"Capizzi","given":"Vincenzo"},{"family":"Gioia","given":"Eleonora"},{"family":"Giudici","given":"Giancarlo"},{"family":"Tenca","given":"Francesca"}],"issued":{"date-parts":[["2021",12,1]]}},"label":"page","suppress-author":true}],"schema":"https://github.com/citation-style-language/schema/raw/master/csl-citation.json"} </w:instrText>
      </w:r>
      <w:r w:rsidR="00C22508" w:rsidRPr="007E723C">
        <w:rPr>
          <w:rFonts w:ascii="Georgia" w:hAnsi="Georgia" w:cs="Times New Roman"/>
          <w:sz w:val="24"/>
          <w:szCs w:val="24"/>
        </w:rPr>
        <w:fldChar w:fldCharType="separate"/>
      </w:r>
      <w:r w:rsidR="00C22508" w:rsidRPr="007E723C">
        <w:rPr>
          <w:rFonts w:ascii="Georgia" w:hAnsi="Georgia" w:cs="Times New Roman"/>
          <w:sz w:val="24"/>
          <w:szCs w:val="24"/>
        </w:rPr>
        <w:t>(2021)</w:t>
      </w:r>
      <w:r w:rsidR="00C22508" w:rsidRPr="007E723C">
        <w:rPr>
          <w:rFonts w:ascii="Georgia" w:hAnsi="Georgia" w:cs="Times New Roman"/>
          <w:sz w:val="24"/>
          <w:szCs w:val="24"/>
        </w:rPr>
        <w:fldChar w:fldCharType="end"/>
      </w:r>
      <w:r w:rsidR="00C22508" w:rsidRPr="007E723C">
        <w:rPr>
          <w:rFonts w:ascii="Georgia" w:hAnsi="Georgia" w:cs="Times New Roman"/>
          <w:sz w:val="24"/>
          <w:szCs w:val="24"/>
        </w:rPr>
        <w:t xml:space="preserve"> is, akik szintén az indikátorok megfelelő súlyozását azonosították hiányosságként.</w:t>
      </w:r>
    </w:p>
    <w:p w14:paraId="1838C441" w14:textId="3C36FCCF" w:rsidR="003267E1" w:rsidRPr="007E723C" w:rsidRDefault="003267E1" w:rsidP="00E75DB6">
      <w:pPr>
        <w:spacing w:line="360" w:lineRule="auto"/>
        <w:ind w:firstLine="720"/>
        <w:jc w:val="both"/>
        <w:rPr>
          <w:rFonts w:ascii="Georgia" w:hAnsi="Georgia" w:cs="Times New Roman"/>
          <w:sz w:val="24"/>
          <w:szCs w:val="24"/>
        </w:rPr>
      </w:pPr>
      <w:r w:rsidRPr="007E723C">
        <w:rPr>
          <w:rFonts w:ascii="Georgia" w:hAnsi="Georgia" w:cs="Times New Roman"/>
          <w:sz w:val="24"/>
          <w:szCs w:val="24"/>
        </w:rPr>
        <w:t>Emellett Li és Polychronopoulos (2020) hívt</w:t>
      </w:r>
      <w:r w:rsidR="00B32E3A" w:rsidRPr="007E723C">
        <w:rPr>
          <w:rFonts w:ascii="Georgia" w:hAnsi="Georgia" w:cs="Times New Roman"/>
          <w:sz w:val="24"/>
          <w:szCs w:val="24"/>
        </w:rPr>
        <w:t>ák</w:t>
      </w:r>
      <w:r w:rsidRPr="007E723C">
        <w:rPr>
          <w:rFonts w:ascii="Georgia" w:hAnsi="Georgia" w:cs="Times New Roman"/>
          <w:sz w:val="24"/>
          <w:szCs w:val="24"/>
        </w:rPr>
        <w:t xml:space="preserve"> fel a figyelmet arra, hogy eltérések vannak vállalatok egyéni mutatóinak szintjén is, vagyis a minősítő cégek más-más indikátorokat használnak fel a minősítésekhez. Azt is fontos kiemelni, hogy az ESG minősítések több száz mérőszámot vesznek figyelembe, amelyek közül sok minőségi jellegű. Mivel egyes mutatókat az egyik </w:t>
      </w:r>
      <w:r w:rsidR="00E75DB6" w:rsidRPr="007E723C">
        <w:rPr>
          <w:rFonts w:ascii="Georgia" w:hAnsi="Georgia" w:cs="Times New Roman"/>
          <w:sz w:val="24"/>
          <w:szCs w:val="24"/>
        </w:rPr>
        <w:t>minősítő</w:t>
      </w:r>
      <w:r w:rsidRPr="007E723C">
        <w:rPr>
          <w:rFonts w:ascii="Georgia" w:hAnsi="Georgia" w:cs="Times New Roman"/>
          <w:sz w:val="24"/>
          <w:szCs w:val="24"/>
        </w:rPr>
        <w:t xml:space="preserve"> </w:t>
      </w:r>
      <w:r w:rsidR="00E75DB6" w:rsidRPr="007E723C">
        <w:rPr>
          <w:rFonts w:ascii="Georgia" w:hAnsi="Georgia" w:cs="Times New Roman"/>
          <w:sz w:val="24"/>
          <w:szCs w:val="24"/>
        </w:rPr>
        <w:t>alkalmaz</w:t>
      </w:r>
      <w:r w:rsidRPr="007E723C">
        <w:rPr>
          <w:rFonts w:ascii="Georgia" w:hAnsi="Georgia" w:cs="Times New Roman"/>
          <w:sz w:val="24"/>
          <w:szCs w:val="24"/>
        </w:rPr>
        <w:t>, a másik nem, a kvalitatív mérőszám számszerű mennyiségre fordítása nagymértékben függ a szolgáltató algoritmusától.</w:t>
      </w:r>
    </w:p>
    <w:p w14:paraId="33A68BB6" w14:textId="06C6E47F" w:rsidR="00634801" w:rsidRPr="007E723C" w:rsidRDefault="00C22508" w:rsidP="00634801">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Általánosságban elmondható továbbá az is, hogy a minősítők által használt értékelési rendszerek minden egyes vállalatot eseti alapon próbálnak felmérni, miközben az ágazati sajátosságokat is figyelembe veszik, hogy komplex szektorközi rangsort adjanak. Így egy olajcéget magasabbra értékelhetnek, mint egy megújuló energiával foglalkozó technológiai céget, mert a minősítés a felhasznált potenciált próbálja mérni, nem csak a vállalkozás etikai alapjait </w:t>
      </w:r>
      <w:r w:rsidR="00B32E3A" w:rsidRPr="007E723C">
        <w:rPr>
          <w:rFonts w:ascii="Georgia" w:hAnsi="Georgia" w:cs="Times New Roman"/>
          <w:sz w:val="24"/>
          <w:szCs w:val="24"/>
        </w:rPr>
        <w:fldChar w:fldCharType="begin"/>
      </w:r>
      <w:r w:rsidR="00B32E3A" w:rsidRPr="007E723C">
        <w:rPr>
          <w:rFonts w:ascii="Georgia" w:hAnsi="Georgia" w:cs="Times New Roman"/>
          <w:sz w:val="24"/>
          <w:szCs w:val="24"/>
        </w:rPr>
        <w:instrText xml:space="preserve"> ADDIN ZOTERO_ITEM CSL_CITATION {"citationID":"VlfdduaJ","properties":{"formattedCitation":"(Cornell &amp; Damodaran, 2020)","plainCitation":"(Cornell &amp; Damodaran, 2020)","noteIndex":0},"citationItems":[{"id":798,"uris":["http://zotero.org/users/9445126/items/MLTKZHPX"],"itemData":{"id":798,"type":"article-journal","container-title":"NYU Stern School of Business","source":"Google Scholar","title":"Valuing ESG: Doing good or sounding good?","title-short":"Valuing ESG","author":[{"family":"Cornell","given":"Bradford"},{"family":"Damodaran","given":"Aswath"}],"issued":{"date-parts":[["2020"]]}}}],"schema":"https://github.com/citation-style-language/schema/raw/master/csl-citation.json"} </w:instrText>
      </w:r>
      <w:r w:rsidR="00B32E3A" w:rsidRPr="007E723C">
        <w:rPr>
          <w:rFonts w:ascii="Georgia" w:hAnsi="Georgia" w:cs="Times New Roman"/>
          <w:sz w:val="24"/>
          <w:szCs w:val="24"/>
        </w:rPr>
        <w:fldChar w:fldCharType="separate"/>
      </w:r>
      <w:r w:rsidR="00B32E3A" w:rsidRPr="007E723C">
        <w:rPr>
          <w:rFonts w:ascii="Georgia" w:hAnsi="Georgia" w:cs="Times New Roman"/>
          <w:sz w:val="24"/>
          <w:szCs w:val="24"/>
        </w:rPr>
        <w:t>(Cornell &amp; Damodaran, 2020)</w:t>
      </w:r>
      <w:r w:rsidR="00B32E3A" w:rsidRPr="007E723C">
        <w:rPr>
          <w:rFonts w:ascii="Georgia" w:hAnsi="Georgia" w:cs="Times New Roman"/>
          <w:sz w:val="24"/>
          <w:szCs w:val="24"/>
        </w:rPr>
        <w:fldChar w:fldCharType="end"/>
      </w:r>
      <w:r w:rsidR="00B32E3A" w:rsidRPr="007E723C">
        <w:rPr>
          <w:rFonts w:ascii="Georgia" w:hAnsi="Georgia" w:cs="Times New Roman"/>
          <w:sz w:val="24"/>
          <w:szCs w:val="24"/>
        </w:rPr>
        <w:t>.</w:t>
      </w:r>
    </w:p>
    <w:p w14:paraId="4409D5DB" w14:textId="555ECF22" w:rsidR="005F4965" w:rsidRPr="007E723C" w:rsidRDefault="005F4965" w:rsidP="00FF7AC9">
      <w:pPr>
        <w:pStyle w:val="Cmsor3"/>
        <w:numPr>
          <w:ilvl w:val="2"/>
          <w:numId w:val="3"/>
        </w:numPr>
        <w:spacing w:after="160"/>
        <w:ind w:left="1701"/>
        <w:rPr>
          <w:rFonts w:ascii="Georgia" w:hAnsi="Georgia" w:cs="Times New Roman"/>
          <w:b/>
          <w:bCs/>
          <w:color w:val="auto"/>
        </w:rPr>
      </w:pPr>
      <w:bookmarkStart w:id="25" w:name="_Toc119421183"/>
      <w:r w:rsidRPr="007E723C">
        <w:rPr>
          <w:rFonts w:ascii="Georgia" w:hAnsi="Georgia" w:cs="Times New Roman"/>
          <w:b/>
          <w:bCs/>
          <w:color w:val="auto"/>
        </w:rPr>
        <w:t>Egyéb megbízhatóságot érintő tényezők</w:t>
      </w:r>
      <w:bookmarkEnd w:id="25"/>
    </w:p>
    <w:p w14:paraId="61025C3F" w14:textId="23AFDF40" w:rsidR="00995F80" w:rsidRPr="007E723C" w:rsidRDefault="00995F80" w:rsidP="00156403">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Az alkalmazandó indikátorok</w:t>
      </w:r>
      <w:r w:rsidR="004843BC" w:rsidRPr="007E723C">
        <w:rPr>
          <w:rFonts w:ascii="Georgia" w:hAnsi="Georgia" w:cs="Times New Roman"/>
          <w:sz w:val="24"/>
          <w:szCs w:val="24"/>
        </w:rPr>
        <w:t xml:space="preserve">, illetve </w:t>
      </w:r>
      <w:r w:rsidRPr="007E723C">
        <w:rPr>
          <w:rFonts w:ascii="Georgia" w:hAnsi="Georgia" w:cs="Times New Roman"/>
          <w:sz w:val="24"/>
          <w:szCs w:val="24"/>
        </w:rPr>
        <w:t>azok megfelelő mérése</w:t>
      </w:r>
      <w:r w:rsidR="004843BC" w:rsidRPr="007E723C">
        <w:rPr>
          <w:rFonts w:ascii="Georgia" w:hAnsi="Georgia" w:cs="Times New Roman"/>
          <w:sz w:val="24"/>
          <w:szCs w:val="24"/>
        </w:rPr>
        <w:t xml:space="preserve"> és súlyozása mellett</w:t>
      </w:r>
      <w:r w:rsidRPr="007E723C">
        <w:rPr>
          <w:rFonts w:ascii="Georgia" w:hAnsi="Georgia" w:cs="Times New Roman"/>
          <w:sz w:val="24"/>
          <w:szCs w:val="24"/>
        </w:rPr>
        <w:t>, négy fő, az ESG adatok megbízhatóságát érintő problémát lehet azonosítani</w:t>
      </w:r>
      <w:r w:rsidR="004843BC" w:rsidRPr="007E723C">
        <w:rPr>
          <w:rFonts w:ascii="Georgia" w:hAnsi="Georgia" w:cs="Times New Roman"/>
          <w:sz w:val="24"/>
          <w:szCs w:val="24"/>
        </w:rPr>
        <w:t xml:space="preserve"> </w:t>
      </w:r>
      <w:r w:rsidR="004843BC" w:rsidRPr="007E723C">
        <w:rPr>
          <w:rFonts w:ascii="Georgia" w:hAnsi="Georgia" w:cs="Times New Roman"/>
          <w:sz w:val="24"/>
          <w:szCs w:val="24"/>
        </w:rPr>
        <w:fldChar w:fldCharType="begin"/>
      </w:r>
      <w:r w:rsidR="004843BC" w:rsidRPr="007E723C">
        <w:rPr>
          <w:rFonts w:ascii="Georgia" w:hAnsi="Georgia" w:cs="Times New Roman"/>
          <w:sz w:val="24"/>
          <w:szCs w:val="24"/>
        </w:rPr>
        <w:instrText xml:space="preserve"> ADDIN ZOTERO_ITEM CSL_CITATION {"citationID":"EZ0RCOxr","properties":{"formattedCitation":"(Gy\\uc0\\u246{}ny\\uc0\\u246{}rov\\uc0\\u225{} \\uc0\\u233{}s mtsai., 2021)","plainCitation":"(Gyönyörová és mtsai., 2021)","noteIndex":0},"citationItems":[{"id":355,"uris":["http://zotero.org/users/9445126/items/BUCA8QNF"],"itemData":{"id":355,"type":"article-journal","abstract":"Environmental, social, and corporate governance (ESG) scores are frequently involved in investment-related decision-making, e.g. for red-flagging or to manage risks. The increasing interest in ESG data raises the question about their validity from various sources. Therefore, we explore the consistency and convergent validity of the well recognized ESG data providers. Exploratory factor analysis of S&amp;P Global 1200 index demonstrates considerable uncertainty across extracted latent factors. Further factor analyses show that the consistency and convergent validity across ESG data significantly depend on the industry type and the country of domicile. These findings are supported by confirmatory factor analyses. Thus, the stakeholders are encouraged to incorporate the company sector and domicile aspects into their decisions. Otherwise, naive use of primary ESG scores may provide a misleading clue. © 2021 Masaryk University.","container-title":"Journal of Sustainable Finance and Investment","DOI":"10.1080/20430795.2021.1922062","title":"ESG ratings: relevant information or misleading clue? Evidence from the S&amp;P Global 1200","URL":"https://www.scopus.com/inward/record.uri?eid=2-s2.0-85106344511&amp;doi=10.1080%2f20430795.2021.1922062&amp;partnerID=40&amp;md5=28e565dd813e46c801737fa2c70a66a7","author":[{"family":"Gyönyörová","given":"L."},{"family":"Stachoň","given":"M."},{"family":"Stašek","given":"D."}],"issued":{"date-parts":[["2021"]]}},"label":"page"}],"schema":"https://github.com/citation-style-language/schema/raw/master/csl-citation.json"} </w:instrText>
      </w:r>
      <w:r w:rsidR="004843BC" w:rsidRPr="007E723C">
        <w:rPr>
          <w:rFonts w:ascii="Georgia" w:hAnsi="Georgia" w:cs="Times New Roman"/>
          <w:sz w:val="24"/>
          <w:szCs w:val="24"/>
        </w:rPr>
        <w:fldChar w:fldCharType="separate"/>
      </w:r>
      <w:r w:rsidR="004843BC" w:rsidRPr="007E723C">
        <w:rPr>
          <w:rFonts w:ascii="Georgia" w:hAnsi="Georgia" w:cs="Times New Roman"/>
          <w:sz w:val="24"/>
          <w:szCs w:val="24"/>
        </w:rPr>
        <w:t>(Gyönyörová és mtsai., 2021)</w:t>
      </w:r>
      <w:r w:rsidR="004843BC" w:rsidRPr="007E723C">
        <w:rPr>
          <w:rFonts w:ascii="Georgia" w:hAnsi="Georgia" w:cs="Times New Roman"/>
          <w:sz w:val="24"/>
          <w:szCs w:val="24"/>
        </w:rPr>
        <w:fldChar w:fldCharType="end"/>
      </w:r>
      <w:r w:rsidRPr="007E723C">
        <w:rPr>
          <w:rFonts w:ascii="Georgia" w:hAnsi="Georgia" w:cs="Times New Roman"/>
          <w:sz w:val="24"/>
          <w:szCs w:val="24"/>
        </w:rPr>
        <w:t>.</w:t>
      </w:r>
    </w:p>
    <w:p w14:paraId="3299BC92" w14:textId="4E5CE791" w:rsidR="00995F80" w:rsidRPr="007E723C" w:rsidRDefault="00995F80" w:rsidP="0062525D">
      <w:pPr>
        <w:spacing w:after="0" w:line="360" w:lineRule="auto"/>
        <w:ind w:firstLine="709"/>
        <w:jc w:val="both"/>
        <w:rPr>
          <w:rFonts w:ascii="Georgia" w:hAnsi="Georgia" w:cs="Times New Roman"/>
          <w:sz w:val="24"/>
          <w:szCs w:val="24"/>
        </w:rPr>
      </w:pPr>
      <w:r w:rsidRPr="007E723C">
        <w:rPr>
          <w:rFonts w:ascii="Georgia" w:hAnsi="Georgia" w:cs="Times New Roman"/>
          <w:i/>
          <w:iCs/>
          <w:sz w:val="24"/>
          <w:szCs w:val="24"/>
        </w:rPr>
        <w:t>Vállalatméret</w:t>
      </w:r>
      <w:r w:rsidRPr="007E723C">
        <w:rPr>
          <w:rFonts w:ascii="Georgia" w:hAnsi="Georgia" w:cs="Times New Roman"/>
          <w:sz w:val="24"/>
          <w:szCs w:val="24"/>
        </w:rPr>
        <w:t>: a nagyobb erőforrásokkal rendelkező vállalatoknak lehetőségük van arra, hogy fenntarthatósági teljesítményüket részletesebben, több mutatószám segítségével is mérjék, így rendszeresen magasabb ESG-</w:t>
      </w:r>
      <w:r w:rsidRPr="007E723C">
        <w:rPr>
          <w:rFonts w:ascii="Georgia" w:hAnsi="Georgia" w:cs="Times New Roman"/>
          <w:sz w:val="24"/>
          <w:szCs w:val="24"/>
        </w:rPr>
        <w:lastRenderedPageBreak/>
        <w:t xml:space="preserve">pontszámokat érnek el </w:t>
      </w:r>
      <w:r w:rsidRPr="007E723C">
        <w:rPr>
          <w:rFonts w:ascii="Georgia" w:hAnsi="Georgia" w:cs="Times New Roman"/>
          <w:sz w:val="24"/>
          <w:szCs w:val="24"/>
        </w:rPr>
        <w:fldChar w:fldCharType="begin"/>
      </w:r>
      <w:r w:rsidR="001E61EE" w:rsidRPr="007E723C">
        <w:rPr>
          <w:rFonts w:ascii="Georgia" w:hAnsi="Georgia" w:cs="Times New Roman"/>
          <w:sz w:val="24"/>
          <w:szCs w:val="24"/>
        </w:rPr>
        <w:instrText xml:space="preserve"> ADDIN ZOTERO_ITEM CSL_CITATION {"citationID":"sLAibUm8","properties":{"formattedCitation":"(Doyle, 2018; Drempetic \\uc0\\u233{}s mtsai., 2020; Liang &amp; Renneboog, 2020)","plainCitation":"(Doyle, 2018; Drempetic és mtsai., 2020; Liang &amp; Renneboog, 2020)","noteIndex":0},"citationItems":[{"id":563,"uris":["http://zotero.org/users/9445126/items/7LCSTMFQ"],"itemData":{"id":563,"type":"article-journal","container-title":"American Council for Capital Formation","source":"Google Scholar","title":"Ratings that don’t rate: the subjective world of ESG ratings agencies","title-short":"Ratings that don’t rate","URL":"https://corpgov.law.harvard.edu/2018/08/07/ratings-that-dont-rate-the-subjective-world-of-esg-ratings-agencies/","author":[{"family":"Doyle","given":"Timothy M."}],"issued":{"date-parts":[["2018"]]}}},{"id":198,"uris":["http://zotero.org/users/9445126/items/TV9H7I49"],"itemData":{"id":198,"type":"article-journal","container-title":"Journal of Business Ethics","DOI":"10.1007/s10551-019-04164-1","title":"The Influence of Firm Size on the ESG Score: Corporate Sustainability Ratings Under Review","volume":"167","author":[{"family":"Drempetic","given":"Samuel"},{"family":"Klein","given":"Christian"},{"family":"Zwergel","given":"Bernhard"}],"issued":{"date-parts":[["2020",11]]}}},{"id":507,"uris":["http://zotero.org/users/9445126/items/94VH5PRU"],"itemData":{"id":507,"type":"report","abstract":"Corporate Social Responsibility (CSR) refers to the incorporation of Environmental, Social, and Governance (ESG) considerations into corporate management, financial decision making, and investors’ portfolio decisions. Socially responsible firms are expected to internalize the externalities (e.g. pollution) they create, and are willing to be accountable to shareholders as well as a broader group of stakeholders (employees, customers, suppliers, local communities,…).  Over the past two decades,  various rating agencies developed firm-level measures of ESG performance, which are widely used in the literature. A problem for past and a challenge for future research is that these ratings show inconsistencies, which depend on the rating agencies’ preferences, weights of the constituting factors, and rating methodology.CSR also deals with sustainable, responsible, and impact investing (SRI). The return implications of investing in the stocks of socially responsible firms, the search for an EGS factor, as well as the performance of SRI funds are the dominant topics. SR funds apply negative screening (exclusion of ‘sin’ industries), positive screening, as well as activism through proxy voting or direct engagement. In this context, one wonders whether responsible investors are willing to  trade off financial returns with a ‘moral’ dividend (the return given up in exchange for an increase in utility driven by the knowledge that one invests ethically). A recent literature concentrates on green financing (the financing of environmentally friendly investment projects by means of green bonds) and on how to foster economic de-carbonization as climate change affects financial markets and investor behavior.","event-place":"Rochester, NY","genre":"SSRN Scholarly Paper","language":"en","note":"DOI: 10.2139/ssrn.3698631","number":"3698631","publisher":"Social Science Research Network","publisher-place":"Rochester, NY","source":"papers.ssrn.com","title":"Corporate Social Responsibility and Sustainable Finance: A Review of the Literature","title-short":"Corporate Social Responsibility and Sustainable Finance","URL":"https://papers.ssrn.com/abstract=3698631","author":[{"family":"Liang","given":"Hao"},{"family":"Renneboog","given":"Luc"}],"accessed":{"date-parts":[["2022",5,2]]},"issued":{"date-parts":[["2020",9,24]]}}}],"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(Doyle, 2018; Drempetic és mtsai., 2020; Liang &amp; Renneboog, 2020)</w:t>
      </w:r>
      <w:r w:rsidRPr="007E723C">
        <w:rPr>
          <w:rFonts w:ascii="Georgia" w:hAnsi="Georgia" w:cs="Times New Roman"/>
          <w:sz w:val="24"/>
          <w:szCs w:val="24"/>
        </w:rPr>
        <w:fldChar w:fldCharType="end"/>
      </w:r>
      <w:r w:rsidRPr="007E723C">
        <w:rPr>
          <w:rFonts w:ascii="Georgia" w:hAnsi="Georgia" w:cs="Times New Roman"/>
          <w:sz w:val="24"/>
          <w:szCs w:val="24"/>
        </w:rPr>
        <w:t>.</w:t>
      </w:r>
    </w:p>
    <w:p w14:paraId="4EE40527" w14:textId="02E62B95" w:rsidR="00995F80" w:rsidRPr="007E723C" w:rsidRDefault="00995F80" w:rsidP="0062525D">
      <w:pPr>
        <w:spacing w:after="0" w:line="360" w:lineRule="auto"/>
        <w:ind w:firstLine="709"/>
        <w:jc w:val="both"/>
        <w:rPr>
          <w:rFonts w:ascii="Georgia" w:hAnsi="Georgia" w:cs="Times New Roman"/>
          <w:sz w:val="24"/>
          <w:szCs w:val="24"/>
        </w:rPr>
      </w:pPr>
      <w:r w:rsidRPr="007E723C">
        <w:rPr>
          <w:rFonts w:ascii="Georgia" w:hAnsi="Georgia" w:cs="Times New Roman"/>
          <w:i/>
          <w:iCs/>
          <w:sz w:val="24"/>
          <w:szCs w:val="24"/>
        </w:rPr>
        <w:t>Földrajzi elhelyezkedés</w:t>
      </w:r>
      <w:r w:rsidRPr="007E723C">
        <w:rPr>
          <w:rFonts w:ascii="Georgia" w:hAnsi="Georgia" w:cs="Times New Roman"/>
          <w:sz w:val="24"/>
          <w:szCs w:val="24"/>
        </w:rPr>
        <w:t xml:space="preserve">: a vállalatok saját országának szabályozási sajátosságai olyan egyedi környezetet teremtenek, amely befolyásolja a nyilvánosságra hozatalt és a jelentéstétel szintjét. Ez azt jelenti, hogy mivel az egyes országokban eltérő a fenntarthatósági jelentésekre vonatkozó szabályozottság mértéke, így előfordulhat, hogy bizonyos területeken mélyebben, több indikátor bevonásával mérik az ESG teljesítményt, míg máshol jóval felületesebb kerülnek közzétételre ezek az adatok. Éppen ezért egy kutatás arra a megállapításra jutott, hogy Európában a vállalatok sokkal magasabb ESG-besorolást kapnak, mint az USA-ban vagy bárhol máshol </w:t>
      </w:r>
      <w:r w:rsidRPr="007E723C">
        <w:rPr>
          <w:rFonts w:ascii="Georgia" w:hAnsi="Georgia" w:cs="Times New Roman"/>
          <w:sz w:val="24"/>
          <w:szCs w:val="24"/>
        </w:rPr>
        <w:fldChar w:fldCharType="begin"/>
      </w:r>
      <w:r w:rsidR="001E61EE" w:rsidRPr="007E723C">
        <w:rPr>
          <w:rFonts w:ascii="Georgia" w:hAnsi="Georgia" w:cs="Times New Roman"/>
          <w:sz w:val="24"/>
          <w:szCs w:val="24"/>
        </w:rPr>
        <w:instrText xml:space="preserve"> ADDIN ZOTERO_ITEM CSL_CITATION {"citationID":"S8ZlR87p","properties":{"formattedCitation":"(Doyle, 2018; Liang &amp; Renneboog, 2020)","plainCitation":"(Doyle, 2018; Liang &amp; Renneboog, 2020)","noteIndex":0},"citationItems":[{"id":563,"uris":["http://zotero.org/users/9445126/items/7LCSTMFQ"],"itemData":{"id":563,"type":"article-journal","container-title":"American Council for Capital Formation","source":"Google Scholar","title":"Ratings that don’t rate: the subjective world of ESG ratings agencies","title-short":"Ratings that don’t rate","URL":"https://corpgov.law.harvard.edu/2018/08/07/ratings-that-dont-rate-the-subjective-world-of-esg-ratings-agencies/","author":[{"family":"Doyle","given":"Timothy M."}],"issued":{"date-parts":[["2018"]]}}},{"id":507,"uris":["http://zotero.org/users/9445126/items/94VH5PRU"],"itemData":{"id":507,"type":"report","abstract":"Corporate Social Responsibility (CSR) refers to the incorporation of Environmental, Social, and Governance (ESG) considerations into corporate management, financial decision making, and investors’ portfolio decisions. Socially responsible firms are expected to internalize the externalities (e.g. pollution) they create, and are willing to be accountable to shareholders as well as a broader group of stakeholders (employees, customers, suppliers, local communities,…).  Over the past two decades,  various rating agencies developed firm-level measures of ESG performance, which are widely used in the literature. A problem for past and a challenge for future research is that these ratings show inconsistencies, which depend on the rating agencies’ preferences, weights of the constituting factors, and rating methodology.CSR also deals with sustainable, responsible, and impact investing (SRI). The return implications of investing in the stocks of socially responsible firms, the search for an EGS factor, as well as the performance of SRI funds are the dominant topics. SR funds apply negative screening (exclusion of ‘sin’ industries), positive screening, as well as activism through proxy voting or direct engagement. In this context, one wonders whether responsible investors are willing to  trade off financial returns with a ‘moral’ dividend (the return given up in exchange for an increase in utility driven by the knowledge that one invests ethically). A recent literature concentrates on green financing (the financing of environmentally friendly investment projects by means of green bonds) and on how to foster economic de-carbonization as climate change affects financial markets and investor behavior.","event-place":"Rochester, NY","genre":"SSRN Scholarly Paper","language":"en","note":"DOI: 10.2139/ssrn.3698631","number":"3698631","publisher":"Social Science Research Network","publisher-place":"Rochester, NY","source":"papers.ssrn.com","title":"Corporate Social Responsibility and Sustainable Finance: A Review of the Literature","title-short":"Corporate Social Responsibility and Sustainable Finance","URL":"https://papers.ssrn.com/abstract=3698631","author":[{"family":"Liang","given":"Hao"},{"family":"Renneboog","given":"Luc"}],"accessed":{"date-parts":[["2022",5,2]]},"issued":{"date-parts":[["2020",9,24]]}}}],"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(Doyle, 2018; Liang &amp; Renneboog, 2020)</w:t>
      </w:r>
      <w:r w:rsidRPr="007E723C">
        <w:rPr>
          <w:rFonts w:ascii="Georgia" w:hAnsi="Georgia" w:cs="Times New Roman"/>
          <w:sz w:val="24"/>
          <w:szCs w:val="24"/>
        </w:rPr>
        <w:fldChar w:fldCharType="end"/>
      </w:r>
      <w:r w:rsidRPr="007E723C">
        <w:rPr>
          <w:rFonts w:ascii="Georgia" w:hAnsi="Georgia" w:cs="Times New Roman"/>
          <w:sz w:val="24"/>
          <w:szCs w:val="24"/>
        </w:rPr>
        <w:t>.</w:t>
      </w:r>
    </w:p>
    <w:p w14:paraId="1CA69A63" w14:textId="50C0D9F5" w:rsidR="00995F80" w:rsidRPr="007E723C" w:rsidRDefault="00995F80" w:rsidP="0062525D">
      <w:pPr>
        <w:spacing w:after="0" w:line="360" w:lineRule="auto"/>
        <w:ind w:firstLine="709"/>
        <w:jc w:val="both"/>
        <w:rPr>
          <w:rFonts w:ascii="Georgia" w:hAnsi="Georgia" w:cs="Times New Roman"/>
          <w:sz w:val="24"/>
          <w:szCs w:val="24"/>
        </w:rPr>
      </w:pPr>
      <w:r w:rsidRPr="007E723C">
        <w:rPr>
          <w:rFonts w:ascii="Georgia" w:hAnsi="Georgia" w:cs="Times New Roman"/>
          <w:i/>
          <w:iCs/>
          <w:sz w:val="24"/>
          <w:szCs w:val="24"/>
        </w:rPr>
        <w:t>Iparági szektor</w:t>
      </w:r>
      <w:r w:rsidRPr="007E723C">
        <w:rPr>
          <w:rFonts w:ascii="Georgia" w:hAnsi="Georgia" w:cs="Times New Roman"/>
          <w:sz w:val="24"/>
          <w:szCs w:val="24"/>
        </w:rPr>
        <w:t xml:space="preserve">: több minősítő cég próbálja iparáganként standardizálni az értékeléseket, de közben az adott iparágon belül egyszerűen csak súlyozzák a három dimenzióra kapott értékeket és nem veszik figyelembe a vállalatspecifikus kockázatokat </w:t>
      </w:r>
      <w:r w:rsidRPr="007E723C">
        <w:rPr>
          <w:rFonts w:ascii="Georgia" w:hAnsi="Georgia" w:cs="Times New Roman"/>
          <w:sz w:val="24"/>
          <w:szCs w:val="24"/>
        </w:rPr>
        <w:fldChar w:fldCharType="begin"/>
      </w:r>
      <w:r w:rsidR="001E61EE" w:rsidRPr="007E723C">
        <w:rPr>
          <w:rFonts w:ascii="Georgia" w:hAnsi="Georgia" w:cs="Times New Roman"/>
          <w:sz w:val="24"/>
          <w:szCs w:val="24"/>
        </w:rPr>
        <w:instrText xml:space="preserve"> ADDIN ZOTERO_ITEM CSL_CITATION {"citationID":"WDYZ7k4d","properties":{"formattedCitation":"(Doyle, 2018)","plainCitation":"(Doyle, 2018)","noteIndex":0},"citationItems":[{"id":563,"uris":["http://zotero.org/users/9445126/items/7LCSTMFQ"],"itemData":{"id":563,"type":"article-journal","container-title":"American Council for Capital Formation","source":"Google Scholar","title":"Ratings that don’t rate: the subjective world of ESG ratings agencies","title-short":"Ratings that don’t rate","URL":"https://corpgov.law.harvard.edu/2018/08/07/ratings-that-dont-rate-the-subjective-world-of-esg-ratings-agencies/","author":[{"family":"Doyle","given":"Timothy M."}],"issued":{"date-parts":[["2018"]]}}}],"schema":"https://github.com/citation-style-language/schema/raw/master/csl-citation.json"}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(Doyle, 2018)</w:t>
      </w:r>
      <w:r w:rsidRPr="007E723C">
        <w:rPr>
          <w:rFonts w:ascii="Georgia" w:hAnsi="Georgia" w:cs="Times New Roman"/>
          <w:sz w:val="24"/>
          <w:szCs w:val="24"/>
        </w:rPr>
        <w:fldChar w:fldCharType="end"/>
      </w:r>
      <w:r w:rsidRPr="007E723C">
        <w:rPr>
          <w:rFonts w:ascii="Georgia" w:hAnsi="Georgia" w:cs="Times New Roman"/>
          <w:sz w:val="24"/>
          <w:szCs w:val="24"/>
        </w:rPr>
        <w:t>.</w:t>
      </w:r>
    </w:p>
    <w:p w14:paraId="1AB9F397" w14:textId="566C1459" w:rsidR="001B1C09" w:rsidRPr="007E723C" w:rsidRDefault="00995F80" w:rsidP="00B32E3A">
      <w:pPr>
        <w:spacing w:after="0" w:line="360" w:lineRule="auto"/>
        <w:ind w:firstLine="709"/>
        <w:jc w:val="both"/>
        <w:rPr>
          <w:rFonts w:ascii="Georgia" w:hAnsi="Georgia" w:cs="Times New Roman"/>
          <w:sz w:val="24"/>
          <w:szCs w:val="24"/>
        </w:rPr>
      </w:pPr>
      <w:r w:rsidRPr="007E723C">
        <w:rPr>
          <w:rFonts w:ascii="Georgia" w:hAnsi="Georgia" w:cs="Times New Roman"/>
          <w:i/>
          <w:iCs/>
          <w:sz w:val="24"/>
          <w:szCs w:val="24"/>
        </w:rPr>
        <w:t>Minősítő intézetek:</w:t>
      </w:r>
      <w:r w:rsidRPr="007E723C">
        <w:rPr>
          <w:rFonts w:ascii="Georgia" w:hAnsi="Georgia" w:cs="Times New Roman"/>
          <w:sz w:val="24"/>
          <w:szCs w:val="24"/>
        </w:rPr>
        <w:t xml:space="preserve"> Berg és mtsi.,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{"citationID":"XiDtcDny","properties":{"formattedCitation":"(2019)","plainCitation":"(2019)","noteIndex":0},"citationItems":[{"id":196,"uris":["http://zotero.org/users/9445126/items/8N4QNH4A"],"itemData":{"id":196,"type":"article-journal","container-title":"Corporate Governance &amp; Finance eJournal","title":"Aggregate Confusion: The Divergence of ESG Ratings","author":[{"family":"Berg","given":"Florian"},{"family":"Kölbel","given":"Julian F."},{"family":"Rigobr n","given":"Roberto"}],"issued":{"date-parts":[["2019"]]}},"suppress-author":true}],"schema":"https://github.com/citation-style-language/schema/raw/master/csl-citation.json"}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(2019)</w:t>
      </w:r>
      <w:r w:rsidRPr="007E723C">
        <w:rPr>
          <w:rFonts w:ascii="Georgia" w:hAnsi="Georgia" w:cs="Times New Roman"/>
          <w:sz w:val="24"/>
          <w:szCs w:val="24"/>
        </w:rPr>
        <w:fldChar w:fldCharType="end"/>
      </w:r>
      <w:r w:rsidRPr="007E723C">
        <w:rPr>
          <w:rFonts w:ascii="Georgia" w:hAnsi="Georgia" w:cs="Times New Roman"/>
          <w:sz w:val="24"/>
          <w:szCs w:val="24"/>
        </w:rPr>
        <w:t xml:space="preserve"> kutatásaik során arra jutottak, hogy maga az értékelő cégek is hatással lehetnek az ESG pontszámokra. Megfigyelték ugyanis, hogy létezik az úgynevezett „rater effect”, ami azt jelenti, hogy a minősítőket befolyásolhatja az értékelésben az adott cég hírneve, marketingstratégiája is. Másrészt az értékelő cégek hatása az ESG pontszámokra attól is függhet, hogy mit hajlandó a cég közzétenni, milyen információkat ad át a minősítők részére. Előfordulhat ugyanis, hogy ha nem válaszolnak meg egy kérdést a kérdőíven belül, akkor abból a szempontból automatikusan rossz minősítést kapnak.</w:t>
      </w:r>
    </w:p>
    <w:p w14:paraId="0B557214" w14:textId="6A7C5F09" w:rsidR="001F7674" w:rsidRPr="007E723C" w:rsidRDefault="001F7674" w:rsidP="0062525D">
      <w:pPr>
        <w:spacing w:line="360" w:lineRule="auto"/>
        <w:ind w:firstLine="709"/>
        <w:jc w:val="both"/>
        <w:rPr>
          <w:rFonts w:ascii="Georgia" w:hAnsi="Georgia" w:cs="Times New Roman"/>
          <w:sz w:val="24"/>
          <w:szCs w:val="24"/>
        </w:rPr>
      </w:pPr>
      <w:r w:rsidRPr="007E723C">
        <w:rPr>
          <w:rFonts w:ascii="Georgia" w:hAnsi="Georgia" w:cs="Times New Roman"/>
          <w:i/>
          <w:iCs/>
          <w:sz w:val="24"/>
          <w:szCs w:val="24"/>
        </w:rPr>
        <w:t>Minősítések:</w:t>
      </w:r>
      <w:r w:rsidRPr="007E723C">
        <w:rPr>
          <w:rFonts w:ascii="Georgia" w:hAnsi="Georgia" w:cs="Times New Roman"/>
          <w:sz w:val="24"/>
          <w:szCs w:val="24"/>
        </w:rPr>
        <w:t xml:space="preserve"> Chatterji és Toffel</w:t>
      </w:r>
      <w:r w:rsidR="00B32E3A" w:rsidRPr="007E723C">
        <w:rPr>
          <w:rFonts w:ascii="Georgia" w:hAnsi="Georgia" w:cs="Times New Roman"/>
          <w:sz w:val="24"/>
          <w:szCs w:val="24"/>
        </w:rPr>
        <w:t xml:space="preserve"> </w:t>
      </w:r>
      <w:r w:rsidR="00B32E3A" w:rsidRPr="007E723C">
        <w:rPr>
          <w:rFonts w:ascii="Georgia" w:hAnsi="Georgia" w:cs="Times New Roman"/>
          <w:sz w:val="24"/>
          <w:szCs w:val="24"/>
        </w:rPr>
        <w:fldChar w:fldCharType="begin"/>
      </w:r>
      <w:r w:rsidR="00B32E3A" w:rsidRPr="007E723C">
        <w:rPr>
          <w:rFonts w:ascii="Georgia" w:hAnsi="Georgia" w:cs="Times New Roman"/>
          <w:sz w:val="24"/>
          <w:szCs w:val="24"/>
        </w:rPr>
        <w:instrText xml:space="preserve"> ADDIN ZOTERO_ITEM CSL_CITATION {"citationID":"DrWPA3T6","properties":{"formattedCitation":"(2010)","plainCitation":"(2010)","noteIndex":0},"citationItems":[{"id":800,"uris":["http://zotero.org/users/9445126/items/9S6LUMKL"],"itemData":{"id":800,"type":"article-journal","container-title":"Strategic Management Journal","issue":"9","note":"publisher: Wiley Online Library","page":"917–945","source":"Google Scholar","title":"How firms respond to being rated","volume":"31","author":[{"family":"Chatterji","given":"Aaron K."},{"family":"Toffel","given":"Michael W."}],"issued":{"date-parts":[["2010"]]}},"label":"page","suppress-author":true}],"schema":"https://github.com/citation-style-language/schema/raw/master/csl-citation.json"} </w:instrText>
      </w:r>
      <w:r w:rsidR="00B32E3A" w:rsidRPr="007E723C">
        <w:rPr>
          <w:rFonts w:ascii="Georgia" w:hAnsi="Georgia" w:cs="Times New Roman"/>
          <w:sz w:val="24"/>
          <w:szCs w:val="24"/>
        </w:rPr>
        <w:fldChar w:fldCharType="separate"/>
      </w:r>
      <w:r w:rsidR="00B32E3A" w:rsidRPr="007E723C">
        <w:rPr>
          <w:rFonts w:ascii="Georgia" w:hAnsi="Georgia" w:cs="Times New Roman"/>
          <w:sz w:val="24"/>
          <w:szCs w:val="24"/>
        </w:rPr>
        <w:t>(2010)</w:t>
      </w:r>
      <w:r w:rsidR="00B32E3A" w:rsidRPr="007E723C">
        <w:rPr>
          <w:rFonts w:ascii="Georgia" w:hAnsi="Georgia" w:cs="Times New Roman"/>
          <w:sz w:val="24"/>
          <w:szCs w:val="24"/>
        </w:rPr>
        <w:fldChar w:fldCharType="end"/>
      </w:r>
      <w:r w:rsidRPr="007E723C">
        <w:rPr>
          <w:rFonts w:ascii="Georgia" w:hAnsi="Georgia" w:cs="Times New Roman"/>
          <w:sz w:val="24"/>
          <w:szCs w:val="24"/>
        </w:rPr>
        <w:t xml:space="preserve"> kimutatta, hogy azok a cégek, amelyek alacsony pontszámot értek el az ESG minősítésekben, jobban javították teljesítményüket (mérgező szennyezés kibocsátásával mérve), mint magasabb pontszámot elérő vagy egyáltalán nem pontozott társaik. Sharkey és Bromley </w:t>
      </w:r>
      <w:r w:rsidR="00B32E3A" w:rsidRPr="007E723C">
        <w:rPr>
          <w:rFonts w:ascii="Georgia" w:hAnsi="Georgia" w:cs="Times New Roman"/>
          <w:sz w:val="24"/>
          <w:szCs w:val="24"/>
        </w:rPr>
        <w:fldChar w:fldCharType="begin"/>
      </w:r>
      <w:r w:rsidR="00B32E3A" w:rsidRPr="007E723C">
        <w:rPr>
          <w:rFonts w:ascii="Georgia" w:hAnsi="Georgia" w:cs="Times New Roman"/>
          <w:sz w:val="24"/>
          <w:szCs w:val="24"/>
        </w:rPr>
        <w:instrText xml:space="preserve"> ADDIN ZOTERO_ITEM CSL_CITATION {"citationID":"vM8NU7kZ","properties":{"formattedCitation":"(2015)","plainCitation":"(2015)","noteIndex":0},"citationItems":[{"id":803,"uris":["http://zotero.org/users/9445126/items/JKDEKZZG"],"itemData":{"id":803,"type":"article-journal","container-title":"American Sociological Review","issue":"1","note":"publisher: SAGE Publications Sage CA: Los Angeles, CA","page":"63–91","source":"Google Scholar","title":"Can ratings have indirect effects? Evidence from the organizational response to peers’ environmental ratings","title-short":"Can ratings have indirect effects?","volume":"80","author":[{"family":"Sharkey","given":"Amanda J."},{"family":"Bromley","given":"Patricia"}],"issued":{"date-parts":[["2015"]]}},"label":"page","suppress-author":true}],"schema":"https://github.com/citation-style-language/schema/raw/master/csl-citation.json"} </w:instrText>
      </w:r>
      <w:r w:rsidR="00B32E3A" w:rsidRPr="007E723C">
        <w:rPr>
          <w:rFonts w:ascii="Georgia" w:hAnsi="Georgia" w:cs="Times New Roman"/>
          <w:sz w:val="24"/>
          <w:szCs w:val="24"/>
        </w:rPr>
        <w:fldChar w:fldCharType="separate"/>
      </w:r>
      <w:r w:rsidR="00B32E3A" w:rsidRPr="007E723C">
        <w:rPr>
          <w:rFonts w:ascii="Georgia" w:hAnsi="Georgia" w:cs="Times New Roman"/>
          <w:sz w:val="24"/>
          <w:szCs w:val="24"/>
        </w:rPr>
        <w:t>(2015)</w:t>
      </w:r>
      <w:r w:rsidR="00B32E3A" w:rsidRPr="007E723C">
        <w:rPr>
          <w:rFonts w:ascii="Georgia" w:hAnsi="Georgia" w:cs="Times New Roman"/>
          <w:sz w:val="24"/>
          <w:szCs w:val="24"/>
        </w:rPr>
        <w:fldChar w:fldCharType="end"/>
      </w:r>
      <w:r w:rsidRPr="007E723C">
        <w:rPr>
          <w:rFonts w:ascii="Georgia" w:hAnsi="Georgia" w:cs="Times New Roman"/>
          <w:sz w:val="24"/>
          <w:szCs w:val="24"/>
        </w:rPr>
        <w:t xml:space="preserve"> pedig kiemelte azt, hogy az ESG-minősítésbe bevont cégek jobban csökkentették szennyezésüket, amivel mivel társaiknak jelentősebb részét minősítették. </w:t>
      </w:r>
    </w:p>
    <w:p w14:paraId="317AD8E7" w14:textId="77777777" w:rsidR="007E4BA2" w:rsidRPr="007E723C" w:rsidRDefault="007E4BA2" w:rsidP="00FF7AC9">
      <w:pPr>
        <w:pStyle w:val="Cmsor3"/>
        <w:numPr>
          <w:ilvl w:val="2"/>
          <w:numId w:val="3"/>
        </w:numPr>
        <w:spacing w:after="160"/>
        <w:ind w:left="1701"/>
        <w:rPr>
          <w:rFonts w:ascii="Georgia" w:hAnsi="Georgia" w:cs="Times New Roman"/>
          <w:b/>
          <w:bCs/>
          <w:color w:val="auto"/>
        </w:rPr>
      </w:pPr>
      <w:bookmarkStart w:id="26" w:name="_Toc119421184"/>
      <w:r w:rsidRPr="007E723C">
        <w:rPr>
          <w:rFonts w:ascii="Georgia" w:hAnsi="Georgia" w:cs="Times New Roman"/>
          <w:b/>
          <w:bCs/>
          <w:color w:val="auto"/>
        </w:rPr>
        <w:lastRenderedPageBreak/>
        <w:t>A minősítő cégek megbízhatósága</w:t>
      </w:r>
      <w:bookmarkEnd w:id="26"/>
    </w:p>
    <w:p w14:paraId="7198F154" w14:textId="2F3D5C4B" w:rsidR="00995F80" w:rsidRPr="007E723C" w:rsidRDefault="007E4BA2" w:rsidP="00156403">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A fentieken</w:t>
      </w:r>
      <w:r w:rsidR="00156403" w:rsidRPr="007E723C">
        <w:rPr>
          <w:rFonts w:ascii="Georgia" w:hAnsi="Georgia" w:cs="Times New Roman"/>
          <w:sz w:val="24"/>
          <w:szCs w:val="24"/>
        </w:rPr>
        <w:t xml:space="preserve"> túl a</w:t>
      </w:r>
      <w:r w:rsidR="00995F80" w:rsidRPr="007E723C">
        <w:rPr>
          <w:rFonts w:ascii="Georgia" w:hAnsi="Georgia" w:cs="Times New Roman"/>
          <w:sz w:val="24"/>
          <w:szCs w:val="24"/>
        </w:rPr>
        <w:t xml:space="preserve"> szakirodalomban számos kutató kísérletet tett </w:t>
      </w:r>
      <w:r w:rsidR="00156403" w:rsidRPr="007E723C">
        <w:rPr>
          <w:rFonts w:ascii="Georgia" w:hAnsi="Georgia" w:cs="Times New Roman"/>
          <w:sz w:val="24"/>
          <w:szCs w:val="24"/>
        </w:rPr>
        <w:t xml:space="preserve">arra is, hogy </w:t>
      </w:r>
      <w:r w:rsidR="00995F80" w:rsidRPr="007E723C">
        <w:rPr>
          <w:rFonts w:ascii="Georgia" w:hAnsi="Georgia" w:cs="Times New Roman"/>
          <w:sz w:val="24"/>
          <w:szCs w:val="24"/>
        </w:rPr>
        <w:t>a különböző minősítő cégek</w:t>
      </w:r>
      <w:r w:rsidR="0018068D" w:rsidRPr="007E723C">
        <w:rPr>
          <w:rFonts w:ascii="Georgia" w:hAnsi="Georgia" w:cs="Times New Roman"/>
          <w:sz w:val="24"/>
          <w:szCs w:val="24"/>
        </w:rPr>
        <w:t>et</w:t>
      </w:r>
      <w:r w:rsidR="00995F80" w:rsidRPr="007E723C">
        <w:rPr>
          <w:rFonts w:ascii="Georgia" w:hAnsi="Georgia" w:cs="Times New Roman"/>
          <w:sz w:val="24"/>
          <w:szCs w:val="24"/>
        </w:rPr>
        <w:t xml:space="preserve"> összehasonlíts</w:t>
      </w:r>
      <w:r w:rsidR="00156403" w:rsidRPr="007E723C">
        <w:rPr>
          <w:rFonts w:ascii="Georgia" w:hAnsi="Georgia" w:cs="Times New Roman"/>
          <w:sz w:val="24"/>
          <w:szCs w:val="24"/>
        </w:rPr>
        <w:t>ák</w:t>
      </w:r>
      <w:r w:rsidR="00995F80" w:rsidRPr="007E723C">
        <w:rPr>
          <w:rFonts w:ascii="Georgia" w:hAnsi="Georgia" w:cs="Times New Roman"/>
          <w:sz w:val="24"/>
          <w:szCs w:val="24"/>
        </w:rPr>
        <w:t>, akár az alkalmazott módszertan, akár a számításba vett indikátorok szempontjából</w:t>
      </w:r>
      <w:r w:rsidR="00BA5382" w:rsidRPr="007E723C">
        <w:rPr>
          <w:rFonts w:ascii="Georgia" w:hAnsi="Georgia" w:cs="Times New Roman"/>
          <w:sz w:val="24"/>
          <w:szCs w:val="24"/>
        </w:rPr>
        <w:t xml:space="preserve"> azzal a céllal, hogy rávilágítsanak arra, hogy az egyes minősítők által kikalkulált ESG pontszámok mennyiben mutatnak egy irányba és vezetnek hasonló következtetésekre</w:t>
      </w:r>
      <w:r w:rsidR="00995F80" w:rsidRPr="007E723C">
        <w:rPr>
          <w:rFonts w:ascii="Georgia" w:hAnsi="Georgia" w:cs="Times New Roman"/>
          <w:sz w:val="24"/>
          <w:szCs w:val="24"/>
        </w:rPr>
        <w:t>.</w:t>
      </w:r>
    </w:p>
    <w:p w14:paraId="199C7CDA" w14:textId="7FFF759B" w:rsidR="00C76303" w:rsidRPr="007E723C" w:rsidRDefault="00995F80" w:rsidP="00C76303">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Chatterji és m</w:t>
      </w:r>
      <w:r w:rsidR="0018068D" w:rsidRPr="007E723C">
        <w:rPr>
          <w:rFonts w:ascii="Georgia" w:hAnsi="Georgia" w:cs="Times New Roman"/>
          <w:sz w:val="24"/>
          <w:szCs w:val="24"/>
        </w:rPr>
        <w:t xml:space="preserve">unkatársai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khHSx1sN","properties":{"formattedCitation":"(2015)","plainCitation":"(2015)","dontUpdate":true,"noteIndex":0},"citationItems":[{"id":197,"uris":["http://zotero.org/users/9445126/items/QT7SYS3R"],"itemData":{"id":197,"type":"article-journal","container-title":"Strategic Management Journal","DOI":"10.1002/smj.2407","title":"Do ratings of firms converge? Implications for managers, Investors and strategy researchers","volume":"37","author":[{"family":"Chatterji","given":"Aaron"},{"family":"Durand","given":"Rodolphe"},{"family":"Levine","given":"David"},{"family":"Touboul","given":"Samuel"}],"issued":{"date-parts":[["2015",6]]}},"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 xml:space="preserve"> (2015)</w:t>
      </w:r>
      <w:r w:rsidRPr="007E723C">
        <w:rPr>
          <w:rFonts w:ascii="Georgia" w:hAnsi="Georgia" w:cs="Times New Roman"/>
          <w:sz w:val="24"/>
          <w:szCs w:val="24"/>
        </w:rPr>
        <w:fldChar w:fldCharType="end"/>
      </w:r>
      <w:r w:rsidRPr="007E723C">
        <w:rPr>
          <w:rFonts w:ascii="Georgia" w:hAnsi="Georgia" w:cs="Times New Roman"/>
          <w:sz w:val="24"/>
          <w:szCs w:val="24"/>
        </w:rPr>
        <w:t xml:space="preserve"> például 6 minősítő céget vetettek össze és arra jutottak, hogy az általuk kikalkulált ESG pontszámok között alacsony korreláció mutatható ki</w:t>
      </w:r>
      <w:r w:rsidR="00C76303" w:rsidRPr="007E723C">
        <w:rPr>
          <w:rFonts w:ascii="Georgia" w:hAnsi="Georgia" w:cs="Times New Roman"/>
          <w:sz w:val="24"/>
          <w:szCs w:val="24"/>
        </w:rPr>
        <w:t>, aminek oka véleményük szerint az, hogy ezeknek a minősítésnek az általános érvényessége is alacsony</w:t>
      </w:r>
      <w:r w:rsidRPr="007E723C">
        <w:rPr>
          <w:rFonts w:ascii="Georgia" w:hAnsi="Georgia" w:cs="Times New Roman"/>
          <w:sz w:val="24"/>
          <w:szCs w:val="24"/>
        </w:rPr>
        <w:t>.</w:t>
      </w:r>
      <w:r w:rsidR="00C76303" w:rsidRPr="007E723C">
        <w:rPr>
          <w:rFonts w:ascii="Georgia" w:hAnsi="Georgia" w:cs="Times New Roman"/>
          <w:sz w:val="24"/>
          <w:szCs w:val="24"/>
        </w:rPr>
        <w:t xml:space="preserve"> </w:t>
      </w:r>
    </w:p>
    <w:p w14:paraId="14380D10" w14:textId="215FB51D" w:rsidR="00C76303" w:rsidRPr="007E723C" w:rsidRDefault="00995F80" w:rsidP="006F7C57">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Berg és</w:t>
      </w:r>
      <w:r w:rsidR="00C76303" w:rsidRPr="007E723C">
        <w:rPr>
          <w:rFonts w:ascii="Georgia" w:hAnsi="Georgia" w:cs="Times New Roman"/>
          <w:sz w:val="24"/>
          <w:szCs w:val="24"/>
        </w:rPr>
        <w:t xml:space="preserve"> munkatársai</w:t>
      </w:r>
      <w:r w:rsidRPr="007E723C">
        <w:rPr>
          <w:rFonts w:ascii="Georgia" w:hAnsi="Georgia" w:cs="Times New Roman"/>
          <w:sz w:val="24"/>
          <w:szCs w:val="24"/>
        </w:rPr>
        <w:t xml:space="preserve">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{"citationID":"oT9hGNK7","properties":{"formattedCitation":"(2019)","plainCitation":"(2019)","noteIndex":0},"citationItems":[{"id":196,"uris":["http://zotero.org/users/9445126/items/8N4QNH4A"],"itemData":{"id":196,"type":"article-journal","container-title":"Corporate Governance &amp; Finance eJournal","title":"Aggregate Confusion: The Divergence of ESG Ratings","author":[{"family":"Berg","given":"Florian"},{"family":"Kölbel","given":"Julian F."},{"family":"Rigobr n","given":"Roberto"}],"issued":{"date-parts":[["2019"]]}},"suppress-author":true}],"schema":"https://github.com/citation-style-language/schema/raw/master/csl-citation.json"}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(2019)</w:t>
      </w:r>
      <w:r w:rsidRPr="007E723C">
        <w:rPr>
          <w:rFonts w:ascii="Georgia" w:hAnsi="Georgia" w:cs="Times New Roman"/>
          <w:sz w:val="24"/>
          <w:szCs w:val="24"/>
        </w:rPr>
        <w:fldChar w:fldCharType="end"/>
      </w:r>
      <w:r w:rsidR="00C76303" w:rsidRPr="007E723C">
        <w:rPr>
          <w:rFonts w:ascii="Georgia" w:hAnsi="Georgia" w:cs="Times New Roman"/>
          <w:sz w:val="24"/>
          <w:szCs w:val="24"/>
        </w:rPr>
        <w:t xml:space="preserve"> 6 fő ESG minősítő céget vizsgáltak.</w:t>
      </w:r>
      <w:r w:rsidRPr="007E723C">
        <w:rPr>
          <w:rFonts w:ascii="Georgia" w:hAnsi="Georgia" w:cs="Times New Roman"/>
          <w:sz w:val="24"/>
          <w:szCs w:val="24"/>
        </w:rPr>
        <w:t xml:space="preserve"> </w:t>
      </w:r>
      <w:r w:rsidR="00C76303" w:rsidRPr="007E723C">
        <w:rPr>
          <w:rFonts w:ascii="Georgia" w:hAnsi="Georgia" w:cs="Times New Roman"/>
          <w:sz w:val="24"/>
          <w:szCs w:val="24"/>
        </w:rPr>
        <w:t>Szerintük a fő eltérések a hatókörből (mit mérnek), magából a mérésből (milyen indikátorokat használnak) és az egyes indikátorok súlyozásból adódik.</w:t>
      </w:r>
      <w:r w:rsidR="00765884" w:rsidRPr="007E723C">
        <w:rPr>
          <w:rFonts w:ascii="Georgia" w:hAnsi="Georgia" w:cs="Times New Roman"/>
          <w:sz w:val="24"/>
          <w:szCs w:val="24"/>
        </w:rPr>
        <w:t xml:space="preserve"> Kutatásuk során arra jutottak, hogy az ESG egyes dimenziói közül a vállalatirányítási szempont rendelkezett a legalacsonyabb (0.38), míg a környezeti szempont a legmagasabb (0.65) korrelációval. Az egyes ESG minősítések közötti korreláció pedig 80%-os volt. </w:t>
      </w:r>
    </w:p>
    <w:p w14:paraId="75B640AA" w14:textId="7C676633" w:rsidR="00995F80" w:rsidRPr="007E723C" w:rsidRDefault="00995F80" w:rsidP="00AD16F6">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További tanulmányok is azt mutatták, hogy nem következetesek a besorolások </w:t>
      </w:r>
      <w:r w:rsidRPr="007E723C">
        <w:rPr>
          <w:rFonts w:ascii="Georgia" w:hAnsi="Georgia" w:cs="Times New Roman"/>
          <w:sz w:val="24"/>
          <w:szCs w:val="24"/>
        </w:rPr>
        <w:fldChar w:fldCharType="begin"/>
      </w:r>
      <w:r w:rsidR="00C214F1">
        <w:rPr>
          <w:rFonts w:ascii="Georgia" w:hAnsi="Georgia" w:cs="Times New Roman"/>
          <w:sz w:val="24"/>
          <w:szCs w:val="24"/>
        </w:rPr>
        <w:instrText xml:space="preserve"> ADDIN ZOTERO_ITEM CSL_CITATION {"citationID":"sKG9SSNj","properties":{"formattedCitation":"(Delmas \\uc0\\u233{}s mtsai., 2013; Dorfleitner \\uc0\\u233{}s mtsai., 2015; Semenova &amp; Hassel, 2015)","plainCitation":"(Delmas és mtsai., 2013; Dorfleitner és mtsai., 2015; Semenova &amp; Hassel, 2015)","noteIndex":0},"citationItems":[{"id":553,"uris":["http://zotero.org/users/9445126/items/XSIRFS97"],"itemData":{"id":553,"type":"article-journal","container-title":"Academy of Management Perspectives","issue":"3","note":"publisher: Academy of Management Briarcliff Manor, NY","page":"255–267","source":"Google Scholar","title":"Triangulating environmental performance: What do corporate social responsibility ratings really capture?","title-short":"Triangulating environmental performance","volume":"27","author":[{"family":"Delmas","given":"Magali A."},{"family":"Etzion","given":"Dror"},{"family":"Nairn-Birch","given":"Nicholas"}],"issued":{"date-parts":[["2013"]]}}},{"id":79,"uris":["http://zotero.org/users/9445126/items/TMJY4HWD"],"itemData":{"id":79,"type":"article-journal","abstract":"This article empirically compares different rating approaches of corporate social performance (CSP) using environmental, social and corporate governance (ESG) scores of three important sustainability rating providers. We both comment on the ESG level and the risk of changes in a company's ESG level. These ratings are highly relevant to managers and investors comprising ESG issues into their decision-making process. Furthermore, a number of empirical studies, focused on corporate social responsibility topics, are based on certain ESG scoring approaches. The data set includes ESG data for more than 8500 companies worldwide. The article suggests an evident lack in the convergence of ESG measurement concepts. The different ratings neither coincide in distribution nor in risk. Therefore, all CSP stakeholders are encouraged to critically evaluate the validity of the particular ESG scoring model.","container-title":"JOURNAL OF ASSET MANAGEMENT","DOI":"10.1057/jam.2015.31","ISSN":"1470-8272","issue":"7","page":"450-466","title":"Measuring the level and risk of corporate responsibility - An empirical comparison of different ESG rating approaches","volume":"16","author":[{"family":"Dorfleitner","given":"Gregor"},{"family":"Halbritter","given":"Gerhard"},{"family":"Nguyen","given":"Mai"}],"issued":{"date-parts":[["2015"]]}}},{"id":556,"uris":["http://zotero.org/users/9445126/items/FX3HYAHE"],"itemData":{"id":556,"type":"article-journal","container-title":"Journal of Business Ethics","issue":"2","note":"publisher: Springer","page":"249–258","source":"Google Scholar","title":"On the validity of environmental performance metrics","volume":"132","author":[{"family":"Semenova","given":"Natalia"},{"family":"Hassel","given":"Lars G."}],"issued":{"date-parts":[["2015"]]}}}],"schema":"https://github.com/citation-style-language/schema/raw/master/csl-citation.json"} </w:instrText>
      </w:r>
      <w:r w:rsidRPr="007E723C">
        <w:rPr>
          <w:rFonts w:ascii="Georgia" w:hAnsi="Georgia" w:cs="Times New Roman"/>
          <w:sz w:val="24"/>
          <w:szCs w:val="24"/>
        </w:rPr>
        <w:fldChar w:fldCharType="separate"/>
      </w:r>
      <w:r w:rsidR="00C214F1" w:rsidRPr="00C214F1">
        <w:rPr>
          <w:rFonts w:ascii="Georgia" w:hAnsi="Georgia" w:cs="Times New Roman"/>
          <w:sz w:val="24"/>
          <w:szCs w:val="24"/>
        </w:rPr>
        <w:t>(Delmas és mtsai., 2013; Dorfleitner és mtsai., 2015; Semenova &amp; Hassel, 2015)</w:t>
      </w:r>
      <w:r w:rsidRPr="007E723C">
        <w:rPr>
          <w:rFonts w:ascii="Georgia" w:hAnsi="Georgia" w:cs="Times New Roman"/>
          <w:sz w:val="24"/>
          <w:szCs w:val="24"/>
        </w:rPr>
        <w:fldChar w:fldCharType="end"/>
      </w:r>
      <w:r w:rsidRPr="007E723C">
        <w:rPr>
          <w:rFonts w:ascii="Georgia" w:hAnsi="Georgia" w:cs="Times New Roman"/>
          <w:sz w:val="24"/>
          <w:szCs w:val="24"/>
        </w:rPr>
        <w:t xml:space="preserve">. Ezekben a kutatásokban azzal magyarázták az eltéréseket, hogy különbözőnek a minősítők cégek által alkalmazott mérési koncepciók. Dimson és mtsai.,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{"citationID":"oIekOXlv","properties":{"formattedCitation":"(2020)","plainCitation":"(2020)","noteIndex":0},"citationItems":[{"id":202,"uris":["http://zotero.org/users/9445126/items/ELTDYDFV"],"itemData":{"id":202,"type":"article-journal","abstract":"Responsible investors require data to underpin their stock and sector selections. Regardless of the rating agency, bond ratings for a particular issuer are broadly similar. This is not the case for ESG ratings. Companies with a high score from one rater often receive a middling or low score from another rater. This article examines the extent of, and reasons for, disagreement among the leading suppliers of ESG ratings. The weightings given to each pillar of an ESG rating also vary across agencies. Many asset managers contend that ESG ratings can help investors to select assets with superior financial prospects, and the authors therefore review the investment performance of portfolios and of indexes screened for their ESG credentials. In the authors' opinion, ESG ratings, used in isolation, are unlikely to make a material contribution to portfolio returns.","container-title":"JOURNAL OF PORTFOLIO MANAGEMENT","DOI":"10.3905/jpm.2020.1.175","ISSN":"0095-4918","issue":"1","page":"75-87","title":"Divergent ESG Ratings","volume":"47","author":[{"family":"Dimson","given":"Elroy"},{"family":"Marsh","given":"Paul"},{"family":"Staunton","given":"Mike"}],"issued":{"date-parts":[["2020"]]}},"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(2020)</w:t>
      </w:r>
      <w:r w:rsidRPr="007E723C">
        <w:rPr>
          <w:rFonts w:ascii="Georgia" w:hAnsi="Georgia" w:cs="Times New Roman"/>
          <w:sz w:val="24"/>
          <w:szCs w:val="24"/>
        </w:rPr>
        <w:fldChar w:fldCharType="end"/>
      </w:r>
      <w:r w:rsidRPr="007E723C">
        <w:rPr>
          <w:rFonts w:ascii="Georgia" w:hAnsi="Georgia" w:cs="Times New Roman"/>
          <w:sz w:val="24"/>
          <w:szCs w:val="24"/>
        </w:rPr>
        <w:t xml:space="preserve"> szerint egy másik indok az eltérésekre, hogy a kumulált pontszámban eltérő súlyokkal veszik figyelembe a három ESG dimenziót. </w:t>
      </w:r>
    </w:p>
    <w:p w14:paraId="6BDBA3A1" w14:textId="6D21599B" w:rsidR="00995F80" w:rsidRPr="007E723C" w:rsidRDefault="00995F80" w:rsidP="00BA5382">
      <w:pPr>
        <w:spacing w:line="360" w:lineRule="auto"/>
        <w:ind w:firstLine="652"/>
        <w:jc w:val="both"/>
        <w:rPr>
          <w:rFonts w:ascii="Georgia" w:hAnsi="Georgia" w:cs="Times New Roman"/>
          <w:sz w:val="24"/>
          <w:szCs w:val="24"/>
        </w:rPr>
      </w:pPr>
      <w:r w:rsidRPr="007E723C">
        <w:rPr>
          <w:rFonts w:ascii="Georgia" w:hAnsi="Georgia" w:cs="Times New Roman"/>
          <w:sz w:val="24"/>
          <w:szCs w:val="24"/>
        </w:rPr>
        <w:t xml:space="preserve">A fentiekkel ellentétben Utz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{"citationID":"6pHEFgrv","properties":{"formattedCitation":"(2019)","plainCitation":"(2019)","noteIndex":0},"citationItems":[{"id":71,"uris":["http://zotero.org/users/9445126/items/N6GYTAGK"],"itemData":{"id":71,"type":"article-journal","abstract":"This paper studies the reliability of environmental, social, and governance (ESG) assessments in the case of corporate scandals. Reliable disclosures on ESG assessments may reduce information asymmetries when it comes to due diligence, for instance. We use the press release of corporate scandals, which are seen as being unexpected events, and analyze ESG assessments before, during, and after the event year. We find a significant decline in retrospective controversy indicators during the period in which the scandals are released. Subsequent to the scandals, we document a rebound of these indicators. The assessments of forward-looking indicators indicate slightly significant increases during the scandal period. Moreover, our findings show that aggregated ESG assessments consisting of both retrospective and forward-looking indicators are useless when it comes to predicting corporate scandals. Therefore, the managerial implication of this paper recommends educating managers and investors upon how to obtain a comprehensive vision of the corporate social responsibility of a firm based on single ESG assessment indicators.","container-title":"REVIEW OF MANAGERIAL SCIENCE","DOI":"10.1007/s11846-017-0256-x","ISSN":"1863-6683","issue":"2","page":"483-511","title":"Corporate scandals and the reliability of ESG assessments: evidence from an international sample","volume":"13","author":[{"family":"Utz","given":"Sebastian"}],"issued":{"date-parts":[["2019"]]}},"suppress-author":true}],"schema":"https://github.com/citation-style-language/schema/raw/master/csl-citation.json"}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(2019)</w:t>
      </w:r>
      <w:r w:rsidRPr="007E723C">
        <w:rPr>
          <w:rFonts w:ascii="Georgia" w:hAnsi="Georgia" w:cs="Times New Roman"/>
          <w:sz w:val="24"/>
          <w:szCs w:val="24"/>
        </w:rPr>
        <w:fldChar w:fldCharType="end"/>
      </w:r>
      <w:r w:rsidRPr="007E723C">
        <w:rPr>
          <w:rFonts w:ascii="Georgia" w:hAnsi="Georgia" w:cs="Times New Roman"/>
          <w:sz w:val="24"/>
          <w:szCs w:val="24"/>
        </w:rPr>
        <w:t xml:space="preserve"> az ESG minősítések megbízhatóságát egy másik megközelítésben vizsgálta, azt elemezte, hogy a váratlan botrányok hogyan mutatkoznak meg az ESG pontszámokban. A kutatás eredményeként arra jutott, hogy a retrospektív mutatók jelentősen csökkennek a botrány évében, amiből arra következtetett, hogy az ESG minősítések ebből a szempontból megbízhatónak tűnnek, hiszen követik a változásokat. </w:t>
      </w:r>
    </w:p>
    <w:p w14:paraId="23670994" w14:textId="4561D201" w:rsidR="005C0E45" w:rsidRPr="007E723C" w:rsidRDefault="00395B3F" w:rsidP="008615E1">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Sok kihívással kell szembenézniük </w:t>
      </w:r>
      <w:r w:rsidR="00634801" w:rsidRPr="007E723C">
        <w:rPr>
          <w:rFonts w:ascii="Georgia" w:hAnsi="Georgia" w:cs="Times New Roman"/>
          <w:sz w:val="24"/>
          <w:szCs w:val="24"/>
        </w:rPr>
        <w:t xml:space="preserve">tehát </w:t>
      </w:r>
      <w:r w:rsidRPr="007E723C">
        <w:rPr>
          <w:rFonts w:ascii="Georgia" w:hAnsi="Georgia" w:cs="Times New Roman"/>
          <w:sz w:val="24"/>
          <w:szCs w:val="24"/>
        </w:rPr>
        <w:t xml:space="preserve">azoknak a befektetőknek, akik ESG-minősítési szolgáltatót választanak a rendelkezésre álló szolgáltatók óriási száma és különböző típusai, valamint a különböző szolgáltatók által készített minősítések közötti összefüggés és következetesség hiánya miatt. Li és </w:t>
      </w:r>
      <w:r w:rsidRPr="007E723C">
        <w:rPr>
          <w:rFonts w:ascii="Georgia" w:hAnsi="Georgia" w:cs="Times New Roman"/>
          <w:sz w:val="24"/>
          <w:szCs w:val="24"/>
        </w:rPr>
        <w:lastRenderedPageBreak/>
        <w:t xml:space="preserve">Polychronopoulos </w:t>
      </w:r>
      <w:r w:rsidRPr="007E723C">
        <w:rPr>
          <w:rFonts w:ascii="Georgia" w:hAnsi="Georgia" w:cs="Times New Roman"/>
          <w:sz w:val="24"/>
          <w:szCs w:val="24"/>
        </w:rPr>
        <w:fldChar w:fldCharType="begin"/>
      </w:r>
      <w:r w:rsidRPr="007E723C">
        <w:rPr>
          <w:rFonts w:ascii="Georgia" w:hAnsi="Georgia" w:cs="Times New Roman"/>
          <w:sz w:val="24"/>
          <w:szCs w:val="24"/>
        </w:rPr>
        <w:instrText xml:space="preserve"> ADDIN ZOTERO_ITEM CSL_CITATION {"citationID":"uRTgwT57","properties":{"formattedCitation":"(2020)","plainCitation":"(2020)","noteIndex":0},"citationItems":[{"id":534,"uris":["http://zotero.org/users/9445126/items/I78GBVAH"],"itemData":{"id":534,"type":"article-journal","container-title":"Research Affiliates. https://www. researchaffiliates. com/documents/770-what-a-difference-an-esg-ratings-provider-makes. pdf","source":"Google Scholar","title":"What a difference an ESG ratings provider makes","author":[{"family":"Li","given":"Feifei"},{"family":"Polychronopoulos","given":"Ari"}],"issued":{"date-parts":[["2020"]]}},"label":"page","suppress-author":true}],"schema":"https://github.com/citation-style-language/schema/raw/master/csl-citation.json"} </w:instrText>
      </w:r>
      <w:r w:rsidRPr="007E723C">
        <w:rPr>
          <w:rFonts w:ascii="Georgia" w:hAnsi="Georgia" w:cs="Times New Roman"/>
          <w:sz w:val="24"/>
          <w:szCs w:val="24"/>
        </w:rPr>
        <w:fldChar w:fldCharType="separate"/>
      </w:r>
      <w:r w:rsidRPr="007E723C">
        <w:rPr>
          <w:rFonts w:ascii="Georgia" w:hAnsi="Georgia" w:cs="Times New Roman"/>
          <w:sz w:val="24"/>
          <w:szCs w:val="24"/>
        </w:rPr>
        <w:t>(2020)</w:t>
      </w:r>
      <w:r w:rsidRPr="007E723C">
        <w:rPr>
          <w:rFonts w:ascii="Georgia" w:hAnsi="Georgia" w:cs="Times New Roman"/>
          <w:sz w:val="24"/>
          <w:szCs w:val="24"/>
        </w:rPr>
        <w:fldChar w:fldCharType="end"/>
      </w:r>
      <w:r w:rsidRPr="007E723C">
        <w:rPr>
          <w:rFonts w:ascii="Georgia" w:hAnsi="Georgia" w:cs="Times New Roman"/>
          <w:sz w:val="24"/>
          <w:szCs w:val="24"/>
        </w:rPr>
        <w:t xml:space="preserve"> rámutattak arra, hogy még két jól ismert, robusztus módszertannal rendelkező szolgáltató is különböző minősítéseket tud rendelni ugyanahhoz a vállalathoz, de ez önmagában nem akadályozhatja meg a befektetőket az ESG-stratégia megfontolásában vagy elfogadásában. A minősítésekhez kapcsolódó különböző hiányosságokat és a megbízhatóság egyes aspektusait figyelembe véve az lenne célrevezető, ha a befektetőknek inkább a különböző ESG-minősítési szolgáltatók módszertanát tanulmányoznák abból a célból, hogy ki tudják választani azt a szolgáltatót, amelynek minősítései a legjobban illeszkednek a befektető ESG-ről alkotott véleményéhez.</w:t>
      </w:r>
    </w:p>
    <w:p w14:paraId="54C25D4F" w14:textId="29D13253" w:rsidR="00E77DC4" w:rsidRPr="007E723C" w:rsidRDefault="00E77DC4" w:rsidP="00E414EF">
      <w:pPr>
        <w:spacing w:line="360" w:lineRule="auto"/>
        <w:jc w:val="both"/>
        <w:rPr>
          <w:rFonts w:ascii="Georgia" w:hAnsi="Georgia" w:cs="Times New Roman"/>
          <w:sz w:val="24"/>
          <w:szCs w:val="24"/>
        </w:rPr>
      </w:pPr>
    </w:p>
    <w:p w14:paraId="0111B103" w14:textId="77777777" w:rsidR="007448B2" w:rsidRPr="007E723C" w:rsidRDefault="007448B2">
      <w:pPr>
        <w:rPr>
          <w:rFonts w:ascii="Georgia" w:eastAsiaTheme="majorEastAsia" w:hAnsi="Georgia" w:cs="Times New Roman"/>
          <w:b/>
          <w:bCs/>
          <w:sz w:val="24"/>
          <w:szCs w:val="24"/>
        </w:rPr>
      </w:pPr>
      <w:r w:rsidRPr="007E723C">
        <w:rPr>
          <w:rFonts w:ascii="Georgia" w:hAnsi="Georgia" w:cs="Times New Roman"/>
          <w:b/>
          <w:bCs/>
          <w:sz w:val="24"/>
          <w:szCs w:val="24"/>
        </w:rPr>
        <w:br w:type="page"/>
      </w:r>
    </w:p>
    <w:p w14:paraId="476FE17F" w14:textId="3A7B8F3B" w:rsidR="009E4186" w:rsidRPr="00A63170" w:rsidRDefault="003069D4" w:rsidP="00964907">
      <w:pPr>
        <w:pStyle w:val="Cmsor1"/>
        <w:numPr>
          <w:ilvl w:val="0"/>
          <w:numId w:val="1"/>
        </w:numPr>
        <w:spacing w:after="240" w:line="360" w:lineRule="auto"/>
        <w:ind w:left="431" w:hanging="431"/>
        <w:jc w:val="both"/>
        <w:rPr>
          <w:rFonts w:ascii="Georgia" w:hAnsi="Georgia" w:cs="Times New Roman"/>
          <w:b/>
          <w:bCs/>
          <w:color w:val="auto"/>
          <w:sz w:val="28"/>
          <w:szCs w:val="28"/>
        </w:rPr>
      </w:pPr>
      <w:bookmarkStart w:id="27" w:name="_Toc119421185"/>
      <w:r w:rsidRPr="00A63170">
        <w:rPr>
          <w:rFonts w:ascii="Georgia" w:hAnsi="Georgia" w:cs="Times New Roman"/>
          <w:b/>
          <w:bCs/>
          <w:color w:val="auto"/>
          <w:sz w:val="28"/>
          <w:szCs w:val="28"/>
        </w:rPr>
        <w:lastRenderedPageBreak/>
        <w:t xml:space="preserve">A </w:t>
      </w:r>
      <w:r w:rsidR="00F80EA2" w:rsidRPr="00A63170">
        <w:rPr>
          <w:rFonts w:ascii="Georgia" w:hAnsi="Georgia" w:cs="Times New Roman"/>
          <w:b/>
          <w:bCs/>
          <w:color w:val="auto"/>
          <w:sz w:val="28"/>
          <w:szCs w:val="28"/>
        </w:rPr>
        <w:t>KUTATÁS</w:t>
      </w:r>
      <w:r w:rsidRPr="00A63170">
        <w:rPr>
          <w:rFonts w:ascii="Georgia" w:hAnsi="Georgia" w:cs="Times New Roman"/>
          <w:b/>
          <w:bCs/>
          <w:color w:val="auto"/>
          <w:sz w:val="28"/>
          <w:szCs w:val="28"/>
        </w:rPr>
        <w:t xml:space="preserve"> </w:t>
      </w:r>
      <w:r w:rsidR="00F80EA2" w:rsidRPr="00A63170">
        <w:rPr>
          <w:rFonts w:ascii="Georgia" w:hAnsi="Georgia" w:cs="Times New Roman"/>
          <w:b/>
          <w:bCs/>
          <w:color w:val="auto"/>
          <w:sz w:val="28"/>
          <w:szCs w:val="28"/>
        </w:rPr>
        <w:t>MÓDSZERTANA</w:t>
      </w:r>
      <w:bookmarkEnd w:id="27"/>
    </w:p>
    <w:p w14:paraId="59C836BC" w14:textId="4B7963B1" w:rsidR="00DD7699" w:rsidRPr="00DD7699" w:rsidRDefault="00BA17B5" w:rsidP="00DD7699">
      <w:pPr>
        <w:spacing w:line="360" w:lineRule="auto"/>
        <w:ind w:firstLine="709"/>
        <w:jc w:val="both"/>
        <w:rPr>
          <w:rFonts w:ascii="Georgia" w:hAnsi="Georgia" w:cs="Times New Roman"/>
          <w:sz w:val="24"/>
          <w:szCs w:val="24"/>
        </w:rPr>
      </w:pPr>
      <w:r w:rsidRPr="007E723C">
        <w:rPr>
          <w:rFonts w:ascii="Georgia" w:hAnsi="Georgia" w:cs="Times New Roman"/>
          <w:sz w:val="24"/>
          <w:szCs w:val="24"/>
        </w:rPr>
        <w:t>A szakirodalomban fellelhető kutatásokból jól látszik, hogy az ESG teljesítménnyel kapcsolatos információk sok bizonytalanságot hordoznak magukban, így nem lehet vakon megbízni az egyes minősítő cégek által kikalkulált pontszámokban. A korábbiakban láthattuk</w:t>
      </w:r>
      <w:r w:rsidR="00BE3BE6" w:rsidRPr="007E723C">
        <w:rPr>
          <w:rFonts w:ascii="Georgia" w:hAnsi="Georgia" w:cs="Times New Roman"/>
          <w:sz w:val="24"/>
          <w:szCs w:val="24"/>
        </w:rPr>
        <w:t xml:space="preserve"> azt is</w:t>
      </w:r>
      <w:r w:rsidRPr="007E723C">
        <w:rPr>
          <w:rFonts w:ascii="Georgia" w:hAnsi="Georgia" w:cs="Times New Roman"/>
          <w:sz w:val="24"/>
          <w:szCs w:val="24"/>
        </w:rPr>
        <w:t>, hogy a nemzetközi szakirodalomban található azért néhány olyan kutatás, ami az ESG minősítésekkel, különösen a minősítő cégek módszertanának és eredményeinek összehasonlításával foglalkozni. A magyar szakirodalom azonban jelentős hiányosságokkal küzd ezen a területen, aminek többet között az lehet az oka, hogy a fenntarthatóság és az ESG minősítések témaköre egy nagyon aktuális és fiatal kutatási terület. Éppen ezért kutatás</w:t>
      </w:r>
      <w:r w:rsidR="00DB529F">
        <w:rPr>
          <w:rFonts w:ascii="Georgia" w:hAnsi="Georgia" w:cs="Times New Roman"/>
          <w:sz w:val="24"/>
          <w:szCs w:val="24"/>
        </w:rPr>
        <w:t>unkk</w:t>
      </w:r>
      <w:r w:rsidRPr="007E723C">
        <w:rPr>
          <w:rFonts w:ascii="Georgia" w:hAnsi="Georgia" w:cs="Times New Roman"/>
          <w:sz w:val="24"/>
          <w:szCs w:val="24"/>
        </w:rPr>
        <w:t>al ezt az űrt kíván</w:t>
      </w:r>
      <w:r w:rsidR="00DB529F">
        <w:rPr>
          <w:rFonts w:ascii="Georgia" w:hAnsi="Georgia" w:cs="Times New Roman"/>
          <w:sz w:val="24"/>
          <w:szCs w:val="24"/>
        </w:rPr>
        <w:t>juk</w:t>
      </w:r>
      <w:r w:rsidRPr="007E723C">
        <w:rPr>
          <w:rFonts w:ascii="Georgia" w:hAnsi="Georgia" w:cs="Times New Roman"/>
          <w:sz w:val="24"/>
          <w:szCs w:val="24"/>
        </w:rPr>
        <w:t xml:space="preserve"> betölteni és arra fogok törekedni, hogy igazolni tudjam a korábbi kutatások megállapításait, illetve feltárjam, hogy az egyes minősítő cégek által kikalkulált pontszámok alapján mennyire lehet a vállalatokat ESG teljesítmény alapon összehasonlítani. Ez azért fontos, mert az átláthatóság hiánya és az minősítések lehetséges problémái ellenére az összesített ESG-pontszámok és azok felhasználása a befektetői döntésekhez egyre inkább bevett gyakorlattá vált az üzleti életben, hiszen ezek az adatok lehetővé teszik a felhasználóik számára, hogy egyszerűen és gyorsan értékeljék az adott vállalat fenntarthatósági teljesítményét. </w:t>
      </w:r>
      <w:bookmarkStart w:id="28" w:name="_Toc115687447"/>
      <w:bookmarkStart w:id="29" w:name="_Toc115706575"/>
      <w:bookmarkStart w:id="30" w:name="_Toc115709270"/>
      <w:bookmarkStart w:id="31" w:name="_Toc115784088"/>
      <w:bookmarkStart w:id="32" w:name="_Toc115804318"/>
      <w:bookmarkStart w:id="33" w:name="_Toc116368427"/>
      <w:bookmarkStart w:id="34" w:name="_Toc116368511"/>
      <w:bookmarkStart w:id="35" w:name="_Toc116368568"/>
      <w:bookmarkStart w:id="36" w:name="_Toc116368611"/>
      <w:bookmarkStart w:id="37" w:name="_Toc116368749"/>
      <w:bookmarkStart w:id="38" w:name="_Toc116368824"/>
      <w:bookmarkStart w:id="39" w:name="_Toc116368928"/>
      <w:bookmarkStart w:id="40" w:name="_Toc116369071"/>
      <w:bookmarkStart w:id="41" w:name="_Toc116400487"/>
      <w:bookmarkStart w:id="42" w:name="_Toc116459415"/>
      <w:bookmarkStart w:id="43" w:name="_Toc116980050"/>
      <w:bookmarkStart w:id="44" w:name="_Toc116988409"/>
      <w:bookmarkStart w:id="45" w:name="_Toc117634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25E658D" w14:textId="56A02C16" w:rsidR="00672B57" w:rsidRPr="00A63170" w:rsidRDefault="00672B57" w:rsidP="00964907">
      <w:pPr>
        <w:pStyle w:val="Cmsor2"/>
        <w:numPr>
          <w:ilvl w:val="1"/>
          <w:numId w:val="1"/>
        </w:numPr>
        <w:spacing w:line="360" w:lineRule="auto"/>
        <w:ind w:left="1134" w:hanging="578"/>
        <w:jc w:val="both"/>
        <w:rPr>
          <w:rFonts w:ascii="Georgia" w:hAnsi="Georgia" w:cs="Times New Roman"/>
          <w:b/>
          <w:bCs/>
          <w:color w:val="auto"/>
          <w:sz w:val="24"/>
          <w:szCs w:val="24"/>
        </w:rPr>
      </w:pPr>
      <w:bookmarkStart w:id="46" w:name="_Toc119421186"/>
      <w:r w:rsidRPr="00A63170">
        <w:rPr>
          <w:rFonts w:ascii="Georgia" w:hAnsi="Georgia" w:cs="Times New Roman"/>
          <w:b/>
          <w:bCs/>
          <w:color w:val="auto"/>
          <w:sz w:val="24"/>
          <w:szCs w:val="24"/>
        </w:rPr>
        <w:t>Kutatási kérdések és hipotézisek</w:t>
      </w:r>
      <w:bookmarkEnd w:id="46"/>
    </w:p>
    <w:p w14:paraId="030B494C" w14:textId="2FE42828" w:rsidR="007834D7" w:rsidRPr="007E723C" w:rsidRDefault="00FD1C5B" w:rsidP="007834D7">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Kutatás</w:t>
      </w:r>
      <w:r w:rsidR="00DB529F">
        <w:rPr>
          <w:rFonts w:ascii="Georgia" w:hAnsi="Georgia" w:cs="Times New Roman"/>
          <w:sz w:val="24"/>
          <w:szCs w:val="24"/>
        </w:rPr>
        <w:t>unk</w:t>
      </w:r>
      <w:r w:rsidRPr="007E723C">
        <w:rPr>
          <w:rFonts w:ascii="Georgia" w:hAnsi="Georgia" w:cs="Times New Roman"/>
          <w:sz w:val="24"/>
          <w:szCs w:val="24"/>
        </w:rPr>
        <w:t xml:space="preserve"> során arra törek</w:t>
      </w:r>
      <w:r w:rsidR="00DB529F">
        <w:rPr>
          <w:rFonts w:ascii="Georgia" w:hAnsi="Georgia" w:cs="Times New Roman"/>
          <w:sz w:val="24"/>
          <w:szCs w:val="24"/>
        </w:rPr>
        <w:t>szünk</w:t>
      </w:r>
      <w:r w:rsidRPr="007E723C">
        <w:rPr>
          <w:rFonts w:ascii="Georgia" w:hAnsi="Georgia" w:cs="Times New Roman"/>
          <w:sz w:val="24"/>
          <w:szCs w:val="24"/>
        </w:rPr>
        <w:t>, hogy rámutas</w:t>
      </w:r>
      <w:r w:rsidR="00DB529F">
        <w:rPr>
          <w:rFonts w:ascii="Georgia" w:hAnsi="Georgia" w:cs="Times New Roman"/>
          <w:sz w:val="24"/>
          <w:szCs w:val="24"/>
        </w:rPr>
        <w:t>sun</w:t>
      </w:r>
      <w:r w:rsidRPr="007E723C">
        <w:rPr>
          <w:rFonts w:ascii="Georgia" w:hAnsi="Georgia" w:cs="Times New Roman"/>
          <w:sz w:val="24"/>
          <w:szCs w:val="24"/>
        </w:rPr>
        <w:t>k az ESG minősítést végző cégek által kikalkulált pontszámok megbízható</w:t>
      </w:r>
      <w:r w:rsidR="003E31E2" w:rsidRPr="007E723C">
        <w:rPr>
          <w:rFonts w:ascii="Georgia" w:hAnsi="Georgia" w:cs="Times New Roman"/>
          <w:sz w:val="24"/>
          <w:szCs w:val="24"/>
        </w:rPr>
        <w:t>ságára</w:t>
      </w:r>
      <w:r w:rsidR="00BD37D0" w:rsidRPr="007E723C">
        <w:rPr>
          <w:rFonts w:ascii="Georgia" w:hAnsi="Georgia" w:cs="Times New Roman"/>
          <w:sz w:val="24"/>
          <w:szCs w:val="24"/>
        </w:rPr>
        <w:t>.</w:t>
      </w:r>
      <w:r w:rsidRPr="007E723C">
        <w:rPr>
          <w:rFonts w:ascii="Georgia" w:hAnsi="Georgia" w:cs="Times New Roman"/>
          <w:sz w:val="24"/>
          <w:szCs w:val="24"/>
        </w:rPr>
        <w:t xml:space="preserve"> </w:t>
      </w:r>
      <w:r w:rsidR="00BD37D0" w:rsidRPr="007E723C">
        <w:rPr>
          <w:rFonts w:ascii="Georgia" w:hAnsi="Georgia" w:cs="Times New Roman"/>
          <w:sz w:val="24"/>
          <w:szCs w:val="24"/>
        </w:rPr>
        <w:t>Kutatás</w:t>
      </w:r>
      <w:r w:rsidR="00DB529F">
        <w:rPr>
          <w:rFonts w:ascii="Georgia" w:hAnsi="Georgia" w:cs="Times New Roman"/>
          <w:sz w:val="24"/>
          <w:szCs w:val="24"/>
        </w:rPr>
        <w:t>unkk</w:t>
      </w:r>
      <w:r w:rsidR="00BD37D0" w:rsidRPr="007E723C">
        <w:rPr>
          <w:rFonts w:ascii="Georgia" w:hAnsi="Georgia" w:cs="Times New Roman"/>
          <w:sz w:val="24"/>
          <w:szCs w:val="24"/>
        </w:rPr>
        <w:t xml:space="preserve">al elsősorban </w:t>
      </w:r>
      <w:r w:rsidRPr="007E723C">
        <w:rPr>
          <w:rFonts w:ascii="Georgia" w:hAnsi="Georgia" w:cs="Times New Roman"/>
          <w:sz w:val="24"/>
          <w:szCs w:val="24"/>
        </w:rPr>
        <w:t>kísérletet tesz</w:t>
      </w:r>
      <w:r w:rsidR="00DB529F">
        <w:rPr>
          <w:rFonts w:ascii="Georgia" w:hAnsi="Georgia" w:cs="Times New Roman"/>
          <w:sz w:val="24"/>
          <w:szCs w:val="24"/>
        </w:rPr>
        <w:t>ünk</w:t>
      </w:r>
      <w:r w:rsidRPr="007E723C">
        <w:rPr>
          <w:rFonts w:ascii="Georgia" w:hAnsi="Georgia" w:cs="Times New Roman"/>
          <w:sz w:val="24"/>
          <w:szCs w:val="24"/>
        </w:rPr>
        <w:t xml:space="preserve"> arra, hogy feltárj</w:t>
      </w:r>
      <w:r w:rsidR="00DB529F">
        <w:rPr>
          <w:rFonts w:ascii="Georgia" w:hAnsi="Georgia" w:cs="Times New Roman"/>
          <w:sz w:val="24"/>
          <w:szCs w:val="24"/>
        </w:rPr>
        <w:t>uk</w:t>
      </w:r>
      <w:r w:rsidRPr="007E723C">
        <w:rPr>
          <w:rFonts w:ascii="Georgia" w:hAnsi="Georgia" w:cs="Times New Roman"/>
          <w:sz w:val="24"/>
          <w:szCs w:val="24"/>
        </w:rPr>
        <w:t xml:space="preserve">, </w:t>
      </w:r>
      <w:r w:rsidR="00DB529F">
        <w:rPr>
          <w:rFonts w:ascii="Georgia" w:hAnsi="Georgia" w:cs="Times New Roman"/>
          <w:sz w:val="24"/>
          <w:szCs w:val="24"/>
        </w:rPr>
        <w:t>hogy</w:t>
      </w:r>
      <w:r w:rsidRPr="007E723C">
        <w:rPr>
          <w:rFonts w:ascii="Georgia" w:hAnsi="Georgia" w:cs="Times New Roman"/>
          <w:sz w:val="24"/>
          <w:szCs w:val="24"/>
        </w:rPr>
        <w:t>milyen</w:t>
      </w:r>
      <w:r w:rsidR="00BD37D0" w:rsidRPr="007E723C">
        <w:rPr>
          <w:rFonts w:ascii="Georgia" w:hAnsi="Georgia" w:cs="Times New Roman"/>
          <w:sz w:val="24"/>
          <w:szCs w:val="24"/>
        </w:rPr>
        <w:t xml:space="preserve"> főbb</w:t>
      </w:r>
      <w:r w:rsidRPr="007E723C">
        <w:rPr>
          <w:rFonts w:ascii="Georgia" w:hAnsi="Georgia" w:cs="Times New Roman"/>
          <w:sz w:val="24"/>
          <w:szCs w:val="24"/>
        </w:rPr>
        <w:t xml:space="preserve"> módszertani eltérések </w:t>
      </w:r>
      <w:r w:rsidR="003E31E2" w:rsidRPr="007E723C">
        <w:rPr>
          <w:rFonts w:ascii="Georgia" w:hAnsi="Georgia" w:cs="Times New Roman"/>
          <w:sz w:val="24"/>
          <w:szCs w:val="24"/>
        </w:rPr>
        <w:t>vezethetnek az ESG pontszámok különbözőségéhez</w:t>
      </w:r>
      <w:r w:rsidR="00BD37D0" w:rsidRPr="007E723C">
        <w:rPr>
          <w:rFonts w:ascii="Georgia" w:hAnsi="Georgia" w:cs="Times New Roman"/>
          <w:sz w:val="24"/>
          <w:szCs w:val="24"/>
        </w:rPr>
        <w:t xml:space="preserve">, oly módon, hogy egy tartalomelemzés keretében áttekintem nyolc neves ESG minősítést végző cég értékelési módszertanát. </w:t>
      </w:r>
      <w:r w:rsidR="00351709" w:rsidRPr="007E723C">
        <w:rPr>
          <w:rFonts w:ascii="Georgia" w:hAnsi="Georgia" w:cs="Times New Roman"/>
          <w:sz w:val="24"/>
          <w:szCs w:val="24"/>
        </w:rPr>
        <w:t xml:space="preserve">Ennek fő célja, hogy </w:t>
      </w:r>
      <w:r w:rsidR="00BE3BE6" w:rsidRPr="007E723C">
        <w:rPr>
          <w:rFonts w:ascii="Georgia" w:hAnsi="Georgia" w:cs="Times New Roman"/>
          <w:sz w:val="24"/>
          <w:szCs w:val="24"/>
        </w:rPr>
        <w:t>azonosítsam</w:t>
      </w:r>
      <w:r w:rsidR="00351709" w:rsidRPr="007E723C">
        <w:rPr>
          <w:rFonts w:ascii="Georgia" w:hAnsi="Georgia" w:cs="Times New Roman"/>
          <w:sz w:val="24"/>
          <w:szCs w:val="24"/>
        </w:rPr>
        <w:t xml:space="preserve"> a kiválasztott minősítő cégek közötti hasonlóságokat és különbözőségeket az alkalmazott módszertan és a felhasznált információk szempontjából. Ez előrevetítheti ugyanis</w:t>
      </w:r>
      <w:r w:rsidR="007834D7" w:rsidRPr="007E723C">
        <w:rPr>
          <w:rFonts w:ascii="Georgia" w:hAnsi="Georgia" w:cs="Times New Roman"/>
          <w:sz w:val="24"/>
          <w:szCs w:val="24"/>
        </w:rPr>
        <w:t xml:space="preserve"> </w:t>
      </w:r>
      <w:r w:rsidR="00351709" w:rsidRPr="007E723C">
        <w:rPr>
          <w:rFonts w:ascii="Georgia" w:hAnsi="Georgia" w:cs="Times New Roman"/>
          <w:sz w:val="24"/>
          <w:szCs w:val="24"/>
        </w:rPr>
        <w:t>az összesített ESG pontszámok megbízhatóságát, hiszen az esetleges eltérések odáig vezethetnek, hogy bizonyos minősítő cégek más-más szempontokat más-más súlyokkal vesznek figyelembe, ami már önmagában véve ellehetetlenítheti, vagy bizonytalanná teheti a vállalatok ESG alapon történő összehasonlítását.</w:t>
      </w:r>
      <w:r w:rsidR="007834D7" w:rsidRPr="007E723C">
        <w:rPr>
          <w:rFonts w:ascii="Georgia" w:hAnsi="Georgia" w:cs="Times New Roman"/>
          <w:sz w:val="24"/>
          <w:szCs w:val="24"/>
        </w:rPr>
        <w:t xml:space="preserve"> </w:t>
      </w:r>
    </w:p>
    <w:p w14:paraId="524A7F5E" w14:textId="54EB8CB0" w:rsidR="007834D7" w:rsidRPr="007E723C" w:rsidRDefault="00BD37D0" w:rsidP="00120D50">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lastRenderedPageBreak/>
        <w:t xml:space="preserve">Majd egy kvantitatív </w:t>
      </w:r>
      <w:r w:rsidR="00A9032A" w:rsidRPr="007E723C">
        <w:rPr>
          <w:rFonts w:ascii="Georgia" w:hAnsi="Georgia" w:cs="Times New Roman"/>
          <w:sz w:val="24"/>
          <w:szCs w:val="24"/>
        </w:rPr>
        <w:t>kutatással</w:t>
      </w:r>
      <w:r w:rsidR="00C129CB" w:rsidRPr="007E723C">
        <w:rPr>
          <w:rFonts w:ascii="Georgia" w:hAnsi="Georgia" w:cs="Times New Roman"/>
          <w:sz w:val="24"/>
          <w:szCs w:val="24"/>
        </w:rPr>
        <w:t xml:space="preserve"> arra keresem a választ, hogy két meghatározó ESG minősítést végző cég, a Refinitiv és a Bloomberg által kikalkulált </w:t>
      </w:r>
      <w:r w:rsidR="00FD1C5B" w:rsidRPr="007E723C">
        <w:rPr>
          <w:rFonts w:ascii="Georgia" w:hAnsi="Georgia" w:cs="Times New Roman"/>
          <w:sz w:val="24"/>
          <w:szCs w:val="24"/>
        </w:rPr>
        <w:t xml:space="preserve">ESG </w:t>
      </w:r>
      <w:r w:rsidR="00C129CB" w:rsidRPr="007E723C">
        <w:rPr>
          <w:rFonts w:ascii="Georgia" w:hAnsi="Georgia" w:cs="Times New Roman"/>
          <w:sz w:val="24"/>
          <w:szCs w:val="24"/>
        </w:rPr>
        <w:t xml:space="preserve">pontszámok között mennyire figyelhető meg szignifikáns kapcsolat. </w:t>
      </w:r>
      <w:r w:rsidR="007834D7" w:rsidRPr="007E723C">
        <w:rPr>
          <w:rFonts w:ascii="Georgia" w:hAnsi="Georgia" w:cs="Times New Roman"/>
          <w:sz w:val="24"/>
          <w:szCs w:val="24"/>
        </w:rPr>
        <w:t xml:space="preserve">A vizsgálatot nem csak a kumulált ESG pontszámokra, hanem a három dimenzió (környezeti, társadalmi, irányítási) pontszámaira külön-külön is elvégzem, ugyanis Dimson és </w:t>
      </w:r>
      <w:r w:rsidR="001E489F" w:rsidRPr="007E723C">
        <w:rPr>
          <w:rFonts w:ascii="Georgia" w:hAnsi="Georgia" w:cs="Times New Roman"/>
          <w:sz w:val="24"/>
          <w:szCs w:val="24"/>
        </w:rPr>
        <w:t>munkatársai</w:t>
      </w:r>
      <w:r w:rsidR="007834D7" w:rsidRPr="007E723C">
        <w:rPr>
          <w:rFonts w:ascii="Georgia" w:hAnsi="Georgia" w:cs="Times New Roman"/>
          <w:sz w:val="24"/>
          <w:szCs w:val="24"/>
        </w:rPr>
        <w:t xml:space="preserve"> </w:t>
      </w:r>
      <w:r w:rsidR="007834D7" w:rsidRPr="007E723C">
        <w:rPr>
          <w:rFonts w:ascii="Georgia" w:hAnsi="Georgia" w:cs="Times New Roman"/>
          <w:sz w:val="24"/>
          <w:szCs w:val="24"/>
        </w:rPr>
        <w:fldChar w:fldCharType="begin"/>
      </w:r>
      <w:r w:rsidR="007834D7" w:rsidRPr="007E723C">
        <w:rPr>
          <w:rFonts w:ascii="Georgia" w:hAnsi="Georgia" w:cs="Times New Roman"/>
          <w:sz w:val="24"/>
          <w:szCs w:val="24"/>
        </w:rPr>
        <w:instrText xml:space="preserve"> ADDIN ZOTERO_ITEM CSL_CITATION {"citationID":"WiC3O8En","properties":{"formattedCitation":"(2020)","plainCitation":"(2020)","noteIndex":0},"citationItems":[{"id":202,"uris":["http://zotero.org/users/9445126/items/ELTDYDFV"],"itemData":{"id":202,"type":"article-journal","abstract":"Responsible investors require data to underpin their stock and sector selections. Regardless of the rating agency, bond ratings for a particular issuer are broadly similar. This is not the case for ESG ratings. Companies with a high score from one rater often receive a middling or low score from another rater. This article examines the extent of, and reasons for, disagreement among the leading suppliers of ESG ratings. The weightings given to each pillar of an ESG rating also vary across agencies. Many asset managers contend that ESG ratings can help investors to select assets with superior financial prospects, and the authors therefore review the investment performance of portfolios and of indexes screened for their ESG credentials. In the authors' opinion, ESG ratings, used in isolation, are unlikely to make a material contribution to portfolio returns.","container-title":"JOURNAL OF PORTFOLIO MANAGEMENT","DOI":"10.3905/jpm.2020.1.175","ISSN":"0095-4918","issue":"1","page":"75-87","title":"Divergent ESG Ratings","volume":"47","author":[{"family":"Dimson","given":"Elroy"},{"family":"Marsh","given":"Paul"},{"family":"Staunton","given":"Mike"}],"issued":{"date-parts":[["2020"]]}},"suppress-author":true}],"schema":"https://github.com/citation-style-language/schema/raw/master/csl-citation.json"} </w:instrText>
      </w:r>
      <w:r w:rsidR="007834D7" w:rsidRPr="007E723C">
        <w:rPr>
          <w:rFonts w:ascii="Georgia" w:hAnsi="Georgia" w:cs="Times New Roman"/>
          <w:sz w:val="24"/>
          <w:szCs w:val="24"/>
        </w:rPr>
        <w:fldChar w:fldCharType="separate"/>
      </w:r>
      <w:r w:rsidR="007834D7" w:rsidRPr="007E723C">
        <w:rPr>
          <w:rFonts w:ascii="Georgia" w:hAnsi="Georgia" w:cs="Times New Roman"/>
          <w:sz w:val="24"/>
          <w:szCs w:val="24"/>
        </w:rPr>
        <w:t>(2020)</w:t>
      </w:r>
      <w:r w:rsidR="007834D7" w:rsidRPr="007E723C">
        <w:rPr>
          <w:rFonts w:ascii="Georgia" w:hAnsi="Georgia" w:cs="Times New Roman"/>
          <w:sz w:val="24"/>
          <w:szCs w:val="24"/>
        </w:rPr>
        <w:fldChar w:fldCharType="end"/>
      </w:r>
      <w:r w:rsidR="007834D7" w:rsidRPr="007E723C">
        <w:rPr>
          <w:rFonts w:ascii="Georgia" w:hAnsi="Georgia" w:cs="Times New Roman"/>
          <w:sz w:val="24"/>
          <w:szCs w:val="24"/>
        </w:rPr>
        <w:t xml:space="preserve"> azt találták, hogy azért térnek el az egyes minősítők értékelései, mert más-más súlyozást használnak a három pontszám aggregálása során. Így ezzel a dimenziónkénti elemzéssel ki lehetne küszöbölni ezt a torzító tényezőt. Emellett kutatás</w:t>
      </w:r>
      <w:r w:rsidR="00DB529F">
        <w:rPr>
          <w:rFonts w:ascii="Georgia" w:hAnsi="Georgia" w:cs="Times New Roman"/>
          <w:sz w:val="24"/>
          <w:szCs w:val="24"/>
        </w:rPr>
        <w:t>unk</w:t>
      </w:r>
      <w:r w:rsidR="007834D7" w:rsidRPr="007E723C">
        <w:rPr>
          <w:rFonts w:ascii="Georgia" w:hAnsi="Georgia" w:cs="Times New Roman"/>
          <w:sz w:val="24"/>
          <w:szCs w:val="24"/>
        </w:rPr>
        <w:t>at kibővített</w:t>
      </w:r>
      <w:r w:rsidR="00DB529F">
        <w:rPr>
          <w:rFonts w:ascii="Georgia" w:hAnsi="Georgia" w:cs="Times New Roman"/>
          <w:sz w:val="24"/>
          <w:szCs w:val="24"/>
        </w:rPr>
        <w:t>ük</w:t>
      </w:r>
      <w:r w:rsidR="007834D7" w:rsidRPr="007E723C">
        <w:rPr>
          <w:rFonts w:ascii="Georgia" w:hAnsi="Georgia" w:cs="Times New Roman"/>
          <w:sz w:val="24"/>
          <w:szCs w:val="24"/>
        </w:rPr>
        <w:t xml:space="preserve"> egy további kérdéssel is, mely szerint az ESG pontszámokra az is hatással lehet, hogy az adott értékelt vállalat milyen iparágban tevékenykedik, hiszen például egy gyógyszeripari cégnél, vagy az energia szektorban sokkal nagyobb jelentőséggel bírnak a környezeti hatások. Így nyilvánvaló, hogy az iparági sajátosságok hatással vannak az ESG pontszámokra is. Ezért arra keresem a választ, hogy az egyes minősítők értékelései mennyire iparágspecifikusak és egy adott iparágon belül mennyire lehet az ESG pontszámok alapján összehasonlítani a cégeket.</w:t>
      </w:r>
    </w:p>
    <w:p w14:paraId="1D74B332" w14:textId="338DBAE6" w:rsidR="00C129CB" w:rsidRPr="007E723C" w:rsidRDefault="00F40633" w:rsidP="00120D50">
      <w:pPr>
        <w:spacing w:after="120" w:line="360" w:lineRule="auto"/>
        <w:jc w:val="both"/>
        <w:rPr>
          <w:rFonts w:ascii="Georgia" w:hAnsi="Georgia" w:cs="Times New Roman"/>
          <w:sz w:val="24"/>
          <w:szCs w:val="24"/>
        </w:rPr>
      </w:pPr>
      <w:r w:rsidRPr="007E723C">
        <w:rPr>
          <w:rFonts w:ascii="Georgia" w:hAnsi="Georgia" w:cs="Times New Roman"/>
          <w:sz w:val="24"/>
          <w:szCs w:val="24"/>
        </w:rPr>
        <w:tab/>
        <w:t>A szakirodalomban fellelhető kutatások számos olyan megállapításra jutottak, melyek megalapozottságát érdemes nekem is megvizsgálnom. Ebből kifolyólag előzetesen azzal a feltételezéssel éltem, hogy a nagyobb, tőkeerős vállalatok jellemzően magasabb ESG pontszámot kapnak, hiszen erőforrásaik és nagyobb kapacitásaik révén lehetőségük van arra, hogy a</w:t>
      </w:r>
      <w:r w:rsidR="00120D50" w:rsidRPr="007E723C">
        <w:rPr>
          <w:rFonts w:ascii="Georgia" w:hAnsi="Georgia" w:cs="Times New Roman"/>
          <w:sz w:val="24"/>
          <w:szCs w:val="24"/>
        </w:rPr>
        <w:t xml:space="preserve">z ESG teljesítményüket rendszeresen figyelemmel kísérjék és ezáltal szélesebb körű ESG információt tudnak szolgáltatni a minősítők számára. Egy további előzetes hipotézis szerint az európai vállalatok ESG szempontjából jobban teljesítenek, mint amerikai vagy más kontinensen elhelyezkedő társaik. </w:t>
      </w:r>
    </w:p>
    <w:p w14:paraId="40B02E90" w14:textId="77777777" w:rsidR="00C129CB" w:rsidRPr="007E723C" w:rsidRDefault="00C129CB" w:rsidP="00C129CB">
      <w:pPr>
        <w:spacing w:after="0" w:line="360" w:lineRule="auto"/>
        <w:rPr>
          <w:rFonts w:ascii="Georgia" w:hAnsi="Georgia" w:cs="Times New Roman"/>
          <w:b/>
          <w:bCs/>
          <w:i/>
          <w:iCs/>
          <w:sz w:val="24"/>
          <w:szCs w:val="24"/>
        </w:rPr>
      </w:pPr>
      <w:r w:rsidRPr="007E723C">
        <w:rPr>
          <w:rFonts w:ascii="Georgia" w:hAnsi="Georgia" w:cs="Times New Roman"/>
          <w:b/>
          <w:bCs/>
          <w:sz w:val="24"/>
          <w:szCs w:val="24"/>
        </w:rPr>
        <w:t>Az általam megfogalmazott kutatási kérdések a következők:</w:t>
      </w:r>
    </w:p>
    <w:p w14:paraId="317F1FFA" w14:textId="57AF261D" w:rsidR="00351709" w:rsidRPr="007E723C" w:rsidRDefault="00E810D4" w:rsidP="00FF7AC9">
      <w:pPr>
        <w:pStyle w:val="Listaszerbekezds"/>
        <w:numPr>
          <w:ilvl w:val="0"/>
          <w:numId w:val="2"/>
        </w:numPr>
        <w:spacing w:line="360" w:lineRule="auto"/>
        <w:rPr>
          <w:rFonts w:ascii="Georgia" w:hAnsi="Georgia" w:cs="Times New Roman"/>
          <w:i/>
          <w:iCs/>
          <w:sz w:val="24"/>
          <w:szCs w:val="24"/>
        </w:rPr>
      </w:pPr>
      <w:r w:rsidRPr="007E723C">
        <w:rPr>
          <w:rFonts w:ascii="Georgia" w:hAnsi="Georgia" w:cs="Times New Roman"/>
          <w:i/>
          <w:iCs/>
          <w:sz w:val="24"/>
          <w:szCs w:val="24"/>
        </w:rPr>
        <w:t>K</w:t>
      </w:r>
      <w:r w:rsidRPr="007E723C">
        <w:rPr>
          <w:rFonts w:ascii="Georgia" w:hAnsi="Georgia" w:cs="Times New Roman"/>
          <w:i/>
          <w:iCs/>
          <w:sz w:val="24"/>
          <w:szCs w:val="24"/>
          <w:vertAlign w:val="subscript"/>
        </w:rPr>
        <w:t>1</w:t>
      </w:r>
      <w:r w:rsidRPr="007E723C">
        <w:rPr>
          <w:rFonts w:ascii="Georgia" w:hAnsi="Georgia" w:cs="Times New Roman"/>
          <w:i/>
          <w:iCs/>
          <w:sz w:val="24"/>
          <w:szCs w:val="24"/>
        </w:rPr>
        <w:t xml:space="preserve">: </w:t>
      </w:r>
      <w:r w:rsidR="00351709" w:rsidRPr="007E723C">
        <w:rPr>
          <w:rFonts w:ascii="Georgia" w:hAnsi="Georgia" w:cs="Times New Roman"/>
          <w:i/>
          <w:iCs/>
          <w:sz w:val="24"/>
          <w:szCs w:val="24"/>
        </w:rPr>
        <w:t>Milyen lényeges eltéréseket lehet azonosítani az egyes minősítés végző cégek által alkalmazott módszertanok között?</w:t>
      </w:r>
    </w:p>
    <w:p w14:paraId="5C47C75E" w14:textId="16FDA8A4" w:rsidR="00E810D4" w:rsidRPr="007E723C" w:rsidRDefault="00351709" w:rsidP="00FF7AC9">
      <w:pPr>
        <w:pStyle w:val="Listaszerbekezds"/>
        <w:numPr>
          <w:ilvl w:val="0"/>
          <w:numId w:val="2"/>
        </w:numPr>
        <w:spacing w:line="360" w:lineRule="auto"/>
        <w:rPr>
          <w:rFonts w:ascii="Georgia" w:hAnsi="Georgia" w:cs="Times New Roman"/>
          <w:i/>
          <w:iCs/>
          <w:sz w:val="24"/>
          <w:szCs w:val="24"/>
        </w:rPr>
      </w:pPr>
      <w:r w:rsidRPr="007E723C">
        <w:rPr>
          <w:rFonts w:ascii="Georgia" w:hAnsi="Georgia" w:cs="Times New Roman"/>
          <w:i/>
          <w:iCs/>
          <w:sz w:val="24"/>
          <w:szCs w:val="24"/>
        </w:rPr>
        <w:t>K</w:t>
      </w:r>
      <w:r w:rsidRPr="007E723C">
        <w:rPr>
          <w:rFonts w:ascii="Georgia" w:hAnsi="Georgia" w:cs="Times New Roman"/>
          <w:i/>
          <w:iCs/>
          <w:sz w:val="24"/>
          <w:szCs w:val="24"/>
          <w:vertAlign w:val="subscript"/>
        </w:rPr>
        <w:t>2</w:t>
      </w:r>
      <w:r w:rsidRPr="007E723C">
        <w:rPr>
          <w:rFonts w:ascii="Georgia" w:hAnsi="Georgia" w:cs="Times New Roman"/>
          <w:i/>
          <w:iCs/>
          <w:sz w:val="24"/>
          <w:szCs w:val="24"/>
        </w:rPr>
        <w:t xml:space="preserve">: </w:t>
      </w:r>
      <w:r w:rsidR="00E810D4" w:rsidRPr="007E723C">
        <w:rPr>
          <w:rFonts w:ascii="Georgia" w:hAnsi="Georgia" w:cs="Times New Roman"/>
          <w:i/>
          <w:iCs/>
          <w:sz w:val="24"/>
          <w:szCs w:val="24"/>
        </w:rPr>
        <w:t xml:space="preserve">Megfigyelhető-e szignifikáns kapcsolat </w:t>
      </w:r>
      <w:r w:rsidR="00063544">
        <w:rPr>
          <w:rFonts w:ascii="Georgia" w:hAnsi="Georgia" w:cs="Times New Roman"/>
          <w:i/>
          <w:iCs/>
          <w:sz w:val="24"/>
          <w:szCs w:val="24"/>
        </w:rPr>
        <w:t>az egyes ESG minősítést végző társaságok által közzétett</w:t>
      </w:r>
      <w:r w:rsidRPr="007E723C">
        <w:rPr>
          <w:rFonts w:ascii="Georgia" w:hAnsi="Georgia" w:cs="Times New Roman"/>
          <w:i/>
          <w:iCs/>
          <w:sz w:val="24"/>
          <w:szCs w:val="24"/>
        </w:rPr>
        <w:t xml:space="preserve"> </w:t>
      </w:r>
      <w:r w:rsidR="00063544">
        <w:rPr>
          <w:rFonts w:ascii="Georgia" w:hAnsi="Georgia" w:cs="Times New Roman"/>
          <w:i/>
          <w:iCs/>
          <w:sz w:val="24"/>
          <w:szCs w:val="24"/>
        </w:rPr>
        <w:t>pontszámok</w:t>
      </w:r>
      <w:r w:rsidR="00E810D4" w:rsidRPr="007E723C">
        <w:rPr>
          <w:rFonts w:ascii="Georgia" w:hAnsi="Georgia" w:cs="Times New Roman"/>
          <w:i/>
          <w:iCs/>
          <w:sz w:val="24"/>
          <w:szCs w:val="24"/>
        </w:rPr>
        <w:t xml:space="preserve"> között?</w:t>
      </w:r>
    </w:p>
    <w:p w14:paraId="1CD81EFE" w14:textId="13CE1EE2" w:rsidR="00E810D4" w:rsidRPr="007E723C" w:rsidRDefault="00E810D4" w:rsidP="00FF7AC9">
      <w:pPr>
        <w:pStyle w:val="Listaszerbekezds"/>
        <w:numPr>
          <w:ilvl w:val="0"/>
          <w:numId w:val="2"/>
        </w:numPr>
        <w:spacing w:line="360" w:lineRule="auto"/>
        <w:rPr>
          <w:rFonts w:ascii="Georgia" w:hAnsi="Georgia" w:cs="Times New Roman"/>
          <w:i/>
          <w:iCs/>
          <w:sz w:val="24"/>
          <w:szCs w:val="24"/>
        </w:rPr>
      </w:pPr>
      <w:r w:rsidRPr="007E723C">
        <w:rPr>
          <w:rFonts w:ascii="Georgia" w:hAnsi="Georgia" w:cs="Times New Roman"/>
          <w:i/>
          <w:iCs/>
          <w:sz w:val="24"/>
          <w:szCs w:val="24"/>
        </w:rPr>
        <w:t>K</w:t>
      </w:r>
      <w:r w:rsidR="00351709" w:rsidRPr="007E723C">
        <w:rPr>
          <w:rFonts w:ascii="Georgia" w:hAnsi="Georgia" w:cs="Times New Roman"/>
          <w:i/>
          <w:iCs/>
          <w:sz w:val="24"/>
          <w:szCs w:val="24"/>
          <w:vertAlign w:val="subscript"/>
        </w:rPr>
        <w:t>3</w:t>
      </w:r>
      <w:r w:rsidRPr="007E723C">
        <w:rPr>
          <w:rFonts w:ascii="Georgia" w:hAnsi="Georgia" w:cs="Times New Roman"/>
          <w:i/>
          <w:iCs/>
          <w:sz w:val="24"/>
          <w:szCs w:val="24"/>
        </w:rPr>
        <w:t xml:space="preserve">: Az ESG dimenziói mentén megfigyelhető-e valamilyen lényeges eltérés a </w:t>
      </w:r>
      <w:r w:rsidR="000941C5" w:rsidRPr="007E723C">
        <w:rPr>
          <w:rFonts w:ascii="Georgia" w:hAnsi="Georgia" w:cs="Times New Roman"/>
          <w:i/>
          <w:iCs/>
          <w:sz w:val="24"/>
          <w:szCs w:val="24"/>
        </w:rPr>
        <w:t>kumulált</w:t>
      </w:r>
      <w:r w:rsidRPr="007E723C">
        <w:rPr>
          <w:rFonts w:ascii="Georgia" w:hAnsi="Georgia" w:cs="Times New Roman"/>
          <w:i/>
          <w:iCs/>
          <w:sz w:val="24"/>
          <w:szCs w:val="24"/>
        </w:rPr>
        <w:t xml:space="preserve"> pontszámokhoz képest?</w:t>
      </w:r>
    </w:p>
    <w:p w14:paraId="1286F485" w14:textId="0047322A" w:rsidR="00E810D4" w:rsidRPr="007E723C" w:rsidRDefault="00E810D4" w:rsidP="00FF7AC9">
      <w:pPr>
        <w:pStyle w:val="Listaszerbekezds"/>
        <w:numPr>
          <w:ilvl w:val="0"/>
          <w:numId w:val="2"/>
        </w:numPr>
        <w:spacing w:line="360" w:lineRule="auto"/>
        <w:rPr>
          <w:rFonts w:ascii="Georgia" w:hAnsi="Georgia" w:cs="Times New Roman"/>
          <w:i/>
          <w:iCs/>
          <w:sz w:val="24"/>
          <w:szCs w:val="24"/>
        </w:rPr>
      </w:pPr>
      <w:r w:rsidRPr="007E723C">
        <w:rPr>
          <w:rFonts w:ascii="Georgia" w:hAnsi="Georgia" w:cs="Times New Roman"/>
          <w:i/>
          <w:iCs/>
          <w:sz w:val="24"/>
          <w:szCs w:val="24"/>
        </w:rPr>
        <w:t>K</w:t>
      </w:r>
      <w:r w:rsidR="00351709" w:rsidRPr="007E723C">
        <w:rPr>
          <w:rFonts w:ascii="Georgia" w:hAnsi="Georgia" w:cs="Times New Roman"/>
          <w:i/>
          <w:iCs/>
          <w:sz w:val="24"/>
          <w:szCs w:val="24"/>
          <w:vertAlign w:val="subscript"/>
        </w:rPr>
        <w:t>4</w:t>
      </w:r>
      <w:r w:rsidRPr="007E723C">
        <w:rPr>
          <w:rFonts w:ascii="Georgia" w:hAnsi="Georgia" w:cs="Times New Roman"/>
          <w:i/>
          <w:iCs/>
          <w:sz w:val="24"/>
          <w:szCs w:val="24"/>
        </w:rPr>
        <w:t>: Iparági szinten különbözik-e az ESG minősítések közötti kapcsolat?</w:t>
      </w:r>
    </w:p>
    <w:p w14:paraId="365EC1D8" w14:textId="77777777" w:rsidR="00C129CB" w:rsidRPr="007E723C" w:rsidRDefault="00C129CB" w:rsidP="00C129CB">
      <w:pPr>
        <w:spacing w:after="0" w:line="360" w:lineRule="auto"/>
        <w:jc w:val="both"/>
        <w:rPr>
          <w:rFonts w:ascii="Georgia" w:hAnsi="Georgia" w:cs="Times New Roman"/>
          <w:b/>
          <w:bCs/>
          <w:sz w:val="24"/>
          <w:szCs w:val="24"/>
        </w:rPr>
      </w:pPr>
      <w:r w:rsidRPr="007E723C">
        <w:rPr>
          <w:rFonts w:ascii="Georgia" w:hAnsi="Georgia" w:cs="Times New Roman"/>
          <w:b/>
          <w:bCs/>
          <w:sz w:val="24"/>
          <w:szCs w:val="24"/>
        </w:rPr>
        <w:lastRenderedPageBreak/>
        <w:t>Az eredményeket illetően az alábbi előzetes feltételezésekkel éltem:</w:t>
      </w:r>
    </w:p>
    <w:p w14:paraId="26371D96" w14:textId="7146B825" w:rsidR="007C728D" w:rsidRPr="007E723C" w:rsidRDefault="007C728D" w:rsidP="00FF7AC9">
      <w:pPr>
        <w:pStyle w:val="Listaszerbekezds"/>
        <w:numPr>
          <w:ilvl w:val="0"/>
          <w:numId w:val="4"/>
        </w:numPr>
        <w:spacing w:line="360" w:lineRule="auto"/>
        <w:rPr>
          <w:rFonts w:ascii="Georgia" w:hAnsi="Georgia" w:cs="Times New Roman"/>
          <w:i/>
          <w:iCs/>
          <w:sz w:val="24"/>
          <w:szCs w:val="24"/>
        </w:rPr>
      </w:pPr>
      <w:r w:rsidRPr="007E723C">
        <w:rPr>
          <w:rFonts w:ascii="Georgia" w:hAnsi="Georgia" w:cs="Times New Roman"/>
          <w:i/>
          <w:iCs/>
          <w:sz w:val="24"/>
          <w:szCs w:val="24"/>
        </w:rPr>
        <w:t>H</w:t>
      </w:r>
      <w:r w:rsidR="006B2A16">
        <w:rPr>
          <w:rFonts w:ascii="Georgia" w:hAnsi="Georgia" w:cs="Times New Roman"/>
          <w:i/>
          <w:iCs/>
          <w:sz w:val="24"/>
          <w:szCs w:val="24"/>
          <w:vertAlign w:val="subscript"/>
        </w:rPr>
        <w:t>1</w:t>
      </w:r>
      <w:r w:rsidRPr="007E723C">
        <w:rPr>
          <w:rFonts w:ascii="Georgia" w:hAnsi="Georgia" w:cs="Times New Roman"/>
          <w:i/>
          <w:iCs/>
          <w:sz w:val="24"/>
          <w:szCs w:val="24"/>
        </w:rPr>
        <w:t xml:space="preserve">: A nagyobb vállalatok rendszeresen jobb ESG pontszámot kapnak, mert </w:t>
      </w:r>
      <w:r w:rsidR="00195702" w:rsidRPr="007E723C">
        <w:rPr>
          <w:rFonts w:ascii="Georgia" w:hAnsi="Georgia" w:cs="Times New Roman"/>
          <w:i/>
          <w:iCs/>
          <w:sz w:val="24"/>
          <w:szCs w:val="24"/>
        </w:rPr>
        <w:t>nagyobb erőforrás</w:t>
      </w:r>
      <w:r w:rsidR="008C27EC" w:rsidRPr="007E723C">
        <w:rPr>
          <w:rFonts w:ascii="Georgia" w:hAnsi="Georgia" w:cs="Times New Roman"/>
          <w:i/>
          <w:iCs/>
          <w:sz w:val="24"/>
          <w:szCs w:val="24"/>
        </w:rPr>
        <w:t>aik révén lehetőség van a fenntarthatósági teljesítményük jobb mérésére.</w:t>
      </w:r>
    </w:p>
    <w:p w14:paraId="17216544" w14:textId="41134D2A" w:rsidR="00672B57" w:rsidRPr="007E723C" w:rsidRDefault="00195702" w:rsidP="00FF7AC9">
      <w:pPr>
        <w:pStyle w:val="Listaszerbekezds"/>
        <w:numPr>
          <w:ilvl w:val="0"/>
          <w:numId w:val="4"/>
        </w:numPr>
        <w:spacing w:line="360" w:lineRule="auto"/>
        <w:rPr>
          <w:rFonts w:ascii="Georgia" w:hAnsi="Georgia" w:cs="Times New Roman"/>
          <w:i/>
          <w:iCs/>
          <w:sz w:val="24"/>
          <w:szCs w:val="24"/>
        </w:rPr>
      </w:pPr>
      <w:r w:rsidRPr="007E723C">
        <w:rPr>
          <w:rFonts w:ascii="Georgia" w:hAnsi="Georgia" w:cs="Times New Roman"/>
          <w:i/>
          <w:iCs/>
          <w:sz w:val="24"/>
          <w:szCs w:val="24"/>
        </w:rPr>
        <w:t>H</w:t>
      </w:r>
      <w:r w:rsidR="006B2A16">
        <w:rPr>
          <w:rFonts w:ascii="Georgia" w:hAnsi="Georgia" w:cs="Times New Roman"/>
          <w:i/>
          <w:iCs/>
          <w:sz w:val="24"/>
          <w:szCs w:val="24"/>
          <w:vertAlign w:val="subscript"/>
        </w:rPr>
        <w:t>2</w:t>
      </w:r>
      <w:r w:rsidRPr="007E723C">
        <w:rPr>
          <w:rFonts w:ascii="Georgia" w:hAnsi="Georgia" w:cs="Times New Roman"/>
          <w:i/>
          <w:iCs/>
          <w:sz w:val="24"/>
          <w:szCs w:val="24"/>
        </w:rPr>
        <w:t>: Az európai vállalatok jobb ESG-pontszámot kapnak, mint az amerikai vagy más vállal</w:t>
      </w:r>
      <w:r w:rsidR="009C40B7" w:rsidRPr="007E723C">
        <w:rPr>
          <w:rFonts w:ascii="Georgia" w:hAnsi="Georgia" w:cs="Times New Roman"/>
          <w:i/>
          <w:iCs/>
          <w:sz w:val="24"/>
          <w:szCs w:val="24"/>
        </w:rPr>
        <w:t>a</w:t>
      </w:r>
      <w:r w:rsidRPr="007E723C">
        <w:rPr>
          <w:rFonts w:ascii="Georgia" w:hAnsi="Georgia" w:cs="Times New Roman"/>
          <w:i/>
          <w:iCs/>
          <w:sz w:val="24"/>
          <w:szCs w:val="24"/>
        </w:rPr>
        <w:t>tok.</w:t>
      </w:r>
    </w:p>
    <w:p w14:paraId="3A908958" w14:textId="69A865BF" w:rsidR="00672B57" w:rsidRPr="007E723C" w:rsidRDefault="00672B57" w:rsidP="00964907">
      <w:pPr>
        <w:pStyle w:val="Cmsor2"/>
        <w:numPr>
          <w:ilvl w:val="1"/>
          <w:numId w:val="1"/>
        </w:numPr>
        <w:spacing w:line="360" w:lineRule="auto"/>
        <w:ind w:left="1134" w:hanging="578"/>
        <w:jc w:val="both"/>
        <w:rPr>
          <w:rFonts w:ascii="Georgia" w:hAnsi="Georgia" w:cs="Times New Roman"/>
          <w:b/>
          <w:bCs/>
          <w:color w:val="auto"/>
          <w:sz w:val="24"/>
          <w:szCs w:val="24"/>
        </w:rPr>
      </w:pPr>
      <w:bookmarkStart w:id="47" w:name="_Toc119421187"/>
      <w:r w:rsidRPr="007E723C">
        <w:rPr>
          <w:rFonts w:ascii="Georgia" w:hAnsi="Georgia" w:cs="Times New Roman"/>
          <w:b/>
          <w:bCs/>
          <w:color w:val="auto"/>
          <w:sz w:val="24"/>
          <w:szCs w:val="24"/>
        </w:rPr>
        <w:t>A kutatás során alkalmazott módszertan</w:t>
      </w:r>
      <w:bookmarkEnd w:id="47"/>
    </w:p>
    <w:p w14:paraId="38E92A1A" w14:textId="516DC721" w:rsidR="008C67AC" w:rsidRPr="007E723C" w:rsidRDefault="00AB20F7" w:rsidP="00964907">
      <w:pPr>
        <w:spacing w:after="120" w:line="360" w:lineRule="auto"/>
        <w:ind w:firstLine="709"/>
        <w:jc w:val="both"/>
        <w:rPr>
          <w:rFonts w:ascii="Georgia" w:hAnsi="Georgia" w:cs="Times New Roman"/>
          <w:sz w:val="24"/>
          <w:szCs w:val="24"/>
        </w:rPr>
      </w:pPr>
      <w:r w:rsidRPr="007E723C">
        <w:rPr>
          <w:rFonts w:ascii="Georgia" w:hAnsi="Georgia" w:cs="Times New Roman"/>
          <w:sz w:val="24"/>
          <w:szCs w:val="24"/>
        </w:rPr>
        <w:t>A következő alfejezetekben részletesen bemutat</w:t>
      </w:r>
      <w:r w:rsidR="00DB529F">
        <w:rPr>
          <w:rFonts w:ascii="Georgia" w:hAnsi="Georgia" w:cs="Times New Roman"/>
          <w:sz w:val="24"/>
          <w:szCs w:val="24"/>
        </w:rPr>
        <w:t>juk</w:t>
      </w:r>
      <w:r w:rsidRPr="007E723C">
        <w:rPr>
          <w:rFonts w:ascii="Georgia" w:hAnsi="Georgia" w:cs="Times New Roman"/>
          <w:sz w:val="24"/>
          <w:szCs w:val="24"/>
        </w:rPr>
        <w:t xml:space="preserve"> a kutatás</w:t>
      </w:r>
      <w:r w:rsidR="00DB529F">
        <w:rPr>
          <w:rFonts w:ascii="Georgia" w:hAnsi="Georgia" w:cs="Times New Roman"/>
          <w:sz w:val="24"/>
          <w:szCs w:val="24"/>
        </w:rPr>
        <w:t>unk</w:t>
      </w:r>
      <w:r w:rsidRPr="007E723C">
        <w:rPr>
          <w:rFonts w:ascii="Georgia" w:hAnsi="Georgia" w:cs="Times New Roman"/>
          <w:sz w:val="24"/>
          <w:szCs w:val="24"/>
        </w:rPr>
        <w:t xml:space="preserve"> során alkalmazott módszertant. </w:t>
      </w:r>
      <w:r w:rsidR="00C029B1" w:rsidRPr="007E723C">
        <w:rPr>
          <w:rFonts w:ascii="Georgia" w:hAnsi="Georgia" w:cs="Times New Roman"/>
          <w:sz w:val="24"/>
          <w:szCs w:val="24"/>
        </w:rPr>
        <w:t>Ennek keretében</w:t>
      </w:r>
      <w:r w:rsidRPr="007E723C">
        <w:rPr>
          <w:rFonts w:ascii="Georgia" w:hAnsi="Georgia" w:cs="Times New Roman"/>
          <w:sz w:val="24"/>
          <w:szCs w:val="24"/>
        </w:rPr>
        <w:t xml:space="preserve"> részletesen ismertetem a 8 minősítő cég értékelési metodológiáját, illetve</w:t>
      </w:r>
      <w:r w:rsidR="00C029B1" w:rsidRPr="007E723C">
        <w:rPr>
          <w:rFonts w:ascii="Georgia" w:hAnsi="Georgia" w:cs="Times New Roman"/>
          <w:sz w:val="24"/>
          <w:szCs w:val="24"/>
        </w:rPr>
        <w:t xml:space="preserve"> kitérek</w:t>
      </w:r>
      <w:r w:rsidRPr="007E723C">
        <w:rPr>
          <w:rFonts w:ascii="Georgia" w:hAnsi="Georgia" w:cs="Times New Roman"/>
          <w:sz w:val="24"/>
          <w:szCs w:val="24"/>
        </w:rPr>
        <w:t xml:space="preserve"> </w:t>
      </w:r>
      <w:r w:rsidR="00C029B1" w:rsidRPr="007E723C">
        <w:rPr>
          <w:rFonts w:ascii="Georgia" w:hAnsi="Georgia" w:cs="Times New Roman"/>
          <w:sz w:val="24"/>
          <w:szCs w:val="24"/>
        </w:rPr>
        <w:t xml:space="preserve">az adatgyűjtés formájára és </w:t>
      </w:r>
      <w:r w:rsidRPr="007E723C">
        <w:rPr>
          <w:rFonts w:ascii="Georgia" w:hAnsi="Georgia" w:cs="Times New Roman"/>
          <w:sz w:val="24"/>
          <w:szCs w:val="24"/>
        </w:rPr>
        <w:t>röviden bemutatom azt a 8 iparágat is, melyekből kiválasztottam az elemzésbe bevont vállalatok</w:t>
      </w:r>
      <w:r w:rsidR="00BE3BE6" w:rsidRPr="007E723C">
        <w:rPr>
          <w:rFonts w:ascii="Georgia" w:hAnsi="Georgia" w:cs="Times New Roman"/>
          <w:sz w:val="24"/>
          <w:szCs w:val="24"/>
        </w:rPr>
        <w:t>at</w:t>
      </w:r>
      <w:r w:rsidRPr="007E723C">
        <w:rPr>
          <w:rFonts w:ascii="Georgia" w:hAnsi="Georgia" w:cs="Times New Roman"/>
          <w:sz w:val="24"/>
          <w:szCs w:val="24"/>
        </w:rPr>
        <w:t>. Végül pedig az adatelemzés módjának, illetve menetének felvázolására kerül majd sor.</w:t>
      </w:r>
    </w:p>
    <w:p w14:paraId="4E830636" w14:textId="695E095F" w:rsidR="00672B57" w:rsidRPr="00CC2B89" w:rsidRDefault="0011682A" w:rsidP="00CC2B89">
      <w:pPr>
        <w:pStyle w:val="Cmsor3"/>
        <w:numPr>
          <w:ilvl w:val="2"/>
          <w:numId w:val="1"/>
        </w:numPr>
        <w:spacing w:line="360" w:lineRule="auto"/>
        <w:rPr>
          <w:rFonts w:ascii="Georgia" w:hAnsi="Georgia" w:cs="Times New Roman"/>
          <w:b/>
          <w:bCs/>
          <w:color w:val="auto"/>
        </w:rPr>
      </w:pPr>
      <w:bookmarkStart w:id="48" w:name="_Toc119421188"/>
      <w:r w:rsidRPr="00CC2B89">
        <w:rPr>
          <w:rFonts w:ascii="Georgia" w:hAnsi="Georgia" w:cs="Times New Roman"/>
          <w:b/>
          <w:bCs/>
          <w:color w:val="auto"/>
        </w:rPr>
        <w:t>A</w:t>
      </w:r>
      <w:r w:rsidR="00C029B1" w:rsidRPr="00CC2B89">
        <w:rPr>
          <w:rFonts w:ascii="Georgia" w:hAnsi="Georgia" w:cs="Times New Roman"/>
          <w:b/>
          <w:bCs/>
          <w:color w:val="auto"/>
        </w:rPr>
        <w:t>z ESG minősítések módszertanának tartalomelemzése</w:t>
      </w:r>
      <w:bookmarkEnd w:id="48"/>
    </w:p>
    <w:p w14:paraId="169AF3AF" w14:textId="3AAB0F5D" w:rsidR="008C67AC" w:rsidRPr="007E723C" w:rsidRDefault="00281B6C" w:rsidP="008E3B52">
      <w:pPr>
        <w:spacing w:line="360" w:lineRule="auto"/>
        <w:ind w:firstLine="720"/>
        <w:jc w:val="both"/>
        <w:rPr>
          <w:rFonts w:ascii="Georgia" w:hAnsi="Georgia"/>
          <w:sz w:val="24"/>
          <w:szCs w:val="24"/>
        </w:rPr>
      </w:pPr>
      <w:r w:rsidRPr="007E723C">
        <w:rPr>
          <w:rFonts w:ascii="Georgia" w:hAnsi="Georgia" w:cs="Times New Roman"/>
          <w:sz w:val="24"/>
          <w:szCs w:val="24"/>
        </w:rPr>
        <w:t>Kutatás</w:t>
      </w:r>
      <w:r w:rsidR="00DB529F">
        <w:rPr>
          <w:rFonts w:ascii="Georgia" w:hAnsi="Georgia" w:cs="Times New Roman"/>
          <w:sz w:val="24"/>
          <w:szCs w:val="24"/>
        </w:rPr>
        <w:t>unk</w:t>
      </w:r>
      <w:r w:rsidRPr="007E723C">
        <w:rPr>
          <w:rFonts w:ascii="Georgia" w:hAnsi="Georgia" w:cs="Times New Roman"/>
          <w:sz w:val="24"/>
          <w:szCs w:val="24"/>
        </w:rPr>
        <w:t xml:space="preserve"> első részében az ESG minősítést végző intézetek által alkalmazott módszertant tár</w:t>
      </w:r>
      <w:r w:rsidR="00DB529F">
        <w:rPr>
          <w:rFonts w:ascii="Georgia" w:hAnsi="Georgia" w:cs="Times New Roman"/>
          <w:sz w:val="24"/>
          <w:szCs w:val="24"/>
        </w:rPr>
        <w:t>juk</w:t>
      </w:r>
      <w:r w:rsidRPr="007E723C">
        <w:rPr>
          <w:rFonts w:ascii="Georgia" w:hAnsi="Georgia" w:cs="Times New Roman"/>
          <w:sz w:val="24"/>
          <w:szCs w:val="24"/>
        </w:rPr>
        <w:t xml:space="preserve"> fel annak érdekében, hogy rámutass</w:t>
      </w:r>
      <w:r w:rsidR="00DB529F">
        <w:rPr>
          <w:rFonts w:ascii="Georgia" w:hAnsi="Georgia" w:cs="Times New Roman"/>
          <w:sz w:val="24"/>
          <w:szCs w:val="24"/>
        </w:rPr>
        <w:t>unk</w:t>
      </w:r>
      <w:r w:rsidRPr="007E723C">
        <w:rPr>
          <w:rFonts w:ascii="Georgia" w:hAnsi="Georgia" w:cs="Times New Roman"/>
          <w:sz w:val="24"/>
          <w:szCs w:val="24"/>
        </w:rPr>
        <w:t xml:space="preserve">k azokra a főbb eltérésekre, </w:t>
      </w:r>
      <w:r w:rsidR="00DB529F">
        <w:rPr>
          <w:rFonts w:ascii="Georgia" w:hAnsi="Georgia" w:cs="Times New Roman"/>
          <w:sz w:val="24"/>
          <w:szCs w:val="24"/>
        </w:rPr>
        <w:t>a</w:t>
      </w:r>
      <w:r w:rsidRPr="007E723C">
        <w:rPr>
          <w:rFonts w:ascii="Georgia" w:hAnsi="Georgia" w:cs="Times New Roman"/>
          <w:sz w:val="24"/>
          <w:szCs w:val="24"/>
        </w:rPr>
        <w:t>melyek odáig vezethetnek, hogy az egyes minősítők pontszámait nem lehet megbízhatóan összehasonlítani. Ehhez első lépésként kiválasztottam azt a 8 ESG értékeléseket készítő társaságot, melyek a legnagyobb lefedettséggel bírnak és ezáltal legmeghatározóbb szereplői is ennek a piacnak. Ezek a minősítők az MSCI, a Sustainanalytics, a Refinitiv, a S&amp;P, az FTSE Russell, az ISS, a CDP és a Bloomberg, melyekről már egy rövid ismertetőt az elméleti fejezetben is írtam.</w:t>
      </w:r>
      <w:r w:rsidR="006C5560" w:rsidRPr="007E723C">
        <w:rPr>
          <w:rFonts w:ascii="Georgia" w:hAnsi="Georgia" w:cs="Times New Roman"/>
          <w:sz w:val="24"/>
          <w:szCs w:val="24"/>
        </w:rPr>
        <w:t xml:space="preserve"> A tartalomelemzéshez szükséges információkat az egyes minősítő intézetek hivatalos weboldalán közétett kiadott tájékoztatókból gyűjtöttem össze</w:t>
      </w:r>
      <w:r w:rsidR="008E3B52" w:rsidRPr="007E723C">
        <w:rPr>
          <w:rFonts w:ascii="Georgia" w:hAnsi="Georgia" w:cs="Times New Roman"/>
          <w:sz w:val="24"/>
          <w:szCs w:val="24"/>
        </w:rPr>
        <w:t>, melyek rövid összefoglalóját a továbbiakban ismetetem.</w:t>
      </w:r>
    </w:p>
    <w:p w14:paraId="1CB44756" w14:textId="5B6A60EC" w:rsidR="0026532A" w:rsidRPr="007E723C" w:rsidRDefault="0026532A" w:rsidP="00AE483F">
      <w:pPr>
        <w:spacing w:after="0" w:line="360" w:lineRule="auto"/>
        <w:ind w:firstLine="720"/>
        <w:jc w:val="both"/>
        <w:rPr>
          <w:rFonts w:ascii="Georgia" w:hAnsi="Georgia" w:cs="Times New Roman"/>
          <w:b/>
          <w:bCs/>
          <w:i/>
          <w:iCs/>
          <w:sz w:val="24"/>
          <w:szCs w:val="24"/>
        </w:rPr>
      </w:pPr>
      <w:r w:rsidRPr="007E723C">
        <w:rPr>
          <w:rFonts w:ascii="Georgia" w:hAnsi="Georgia" w:cs="Times New Roman"/>
          <w:b/>
          <w:bCs/>
          <w:i/>
          <w:iCs/>
          <w:sz w:val="24"/>
          <w:szCs w:val="24"/>
        </w:rPr>
        <w:t>MSCI</w:t>
      </w:r>
    </w:p>
    <w:p w14:paraId="6B666866" w14:textId="2D11D4AA" w:rsidR="00921962" w:rsidRDefault="002B5C90" w:rsidP="00964907">
      <w:pPr>
        <w:spacing w:line="360" w:lineRule="auto"/>
        <w:ind w:firstLine="720"/>
        <w:jc w:val="both"/>
        <w:rPr>
          <w:rFonts w:ascii="Georgia" w:hAnsi="Georgia" w:cs="Times New Roman"/>
          <w:sz w:val="24"/>
          <w:szCs w:val="24"/>
        </w:rPr>
      </w:pPr>
      <w:r w:rsidRPr="007E723C">
        <w:rPr>
          <w:rFonts w:ascii="Georgia" w:hAnsi="Georgia" w:cs="Times New Roman"/>
          <w:sz w:val="24"/>
          <w:szCs w:val="24"/>
        </w:rPr>
        <w:t>Az MSCI ESG minősítései olyan kockázatok</w:t>
      </w:r>
      <w:r w:rsidR="000D1D26" w:rsidRPr="007E723C">
        <w:rPr>
          <w:rFonts w:ascii="Georgia" w:hAnsi="Georgia" w:cs="Times New Roman"/>
          <w:sz w:val="24"/>
          <w:szCs w:val="24"/>
        </w:rPr>
        <w:t>at</w:t>
      </w:r>
      <w:r w:rsidRPr="007E723C">
        <w:rPr>
          <w:rFonts w:ascii="Georgia" w:hAnsi="Georgia" w:cs="Times New Roman"/>
          <w:sz w:val="24"/>
          <w:szCs w:val="24"/>
        </w:rPr>
        <w:t xml:space="preserve"> és lehetőségeket</w:t>
      </w:r>
      <w:r w:rsidR="00517DA8" w:rsidRPr="007E723C">
        <w:rPr>
          <w:rFonts w:ascii="Georgia" w:hAnsi="Georgia" w:cs="Times New Roman"/>
          <w:sz w:val="24"/>
          <w:szCs w:val="24"/>
        </w:rPr>
        <w:t xml:space="preserve"> próbálnak lefedni, melyek valamilyen nagyszabású trendek (pl.: klímaváltozás, demográfiai változások) vagy maga a vállalati tevékenység jellege idéznek elő. Mindezek közül az értékelési modell csupán a lényeges kérdésekre összepontosít, melyek jelentős költségeket okozhatnak, vagy megnövelhetik a profitszerzés lehetőségét. Így egy kvantitatív modell segítségével az ESG egyes dimenzióhoz köthető, összesen 35 kulcskérdést azonosítottak</w:t>
      </w:r>
      <w:r w:rsidR="00921962">
        <w:rPr>
          <w:rFonts w:ascii="Georgia" w:hAnsi="Georgia" w:cs="Times New Roman"/>
          <w:sz w:val="24"/>
          <w:szCs w:val="24"/>
        </w:rPr>
        <w:t>, melye</w:t>
      </w:r>
      <w:r w:rsidR="005652E2">
        <w:rPr>
          <w:rFonts w:ascii="Georgia" w:hAnsi="Georgia" w:cs="Times New Roman"/>
          <w:sz w:val="24"/>
          <w:szCs w:val="24"/>
        </w:rPr>
        <w:t>t</w:t>
      </w:r>
      <w:r w:rsidR="00921962">
        <w:rPr>
          <w:rFonts w:ascii="Georgia" w:hAnsi="Georgia" w:cs="Times New Roman"/>
          <w:sz w:val="24"/>
          <w:szCs w:val="24"/>
        </w:rPr>
        <w:t xml:space="preserve"> a következő ábra szemléltet</w:t>
      </w:r>
      <w:r w:rsidR="008C67AC" w:rsidRPr="007E723C">
        <w:rPr>
          <w:rFonts w:ascii="Georgia" w:hAnsi="Georgia" w:cs="Times New Roman"/>
          <w:sz w:val="24"/>
          <w:szCs w:val="24"/>
        </w:rPr>
        <w:t>.</w:t>
      </w:r>
    </w:p>
    <w:p w14:paraId="792C9E62" w14:textId="7E0A87CE" w:rsidR="0081381B" w:rsidRPr="00476666" w:rsidRDefault="0081381B"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noProof/>
          <w:sz w:val="20"/>
          <w:szCs w:val="20"/>
          <w:lang w:eastAsia="hu-HU"/>
        </w:rPr>
        <w:lastRenderedPageBreak/>
        <w:drawing>
          <wp:anchor distT="0" distB="0" distL="114300" distR="114300" simplePos="0" relativeHeight="251693056" behindDoc="0" locked="0" layoutInCell="1" allowOverlap="1" wp14:anchorId="09A899B2" wp14:editId="6A92C392">
            <wp:simplePos x="0" y="0"/>
            <wp:positionH relativeFrom="column">
              <wp:posOffset>156845</wp:posOffset>
            </wp:positionH>
            <wp:positionV relativeFrom="paragraph">
              <wp:posOffset>0</wp:posOffset>
            </wp:positionV>
            <wp:extent cx="5219700" cy="1658620"/>
            <wp:effectExtent l="0" t="0" r="0" b="0"/>
            <wp:wrapTopAndBottom/>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19700" cy="1658620"/>
                    </a:xfrm>
                    <a:prstGeom prst="rect">
                      <a:avLst/>
                    </a:prstGeom>
                  </pic:spPr>
                </pic:pic>
              </a:graphicData>
            </a:graphic>
            <wp14:sizeRelH relativeFrom="page">
              <wp14:pctWidth>0</wp14:pctWidth>
            </wp14:sizeRelH>
            <wp14:sizeRelV relativeFrom="page">
              <wp14:pctHeight>0</wp14:pctHeight>
            </wp14:sizeRelV>
          </wp:anchor>
        </w:drawing>
      </w:r>
      <w:r w:rsidRPr="00476666">
        <w:rPr>
          <w:rFonts w:ascii="Georgia" w:hAnsi="Georgia" w:cs="Times New Roman"/>
          <w:b/>
          <w:bCs/>
          <w:i/>
          <w:iCs/>
          <w:sz w:val="20"/>
          <w:szCs w:val="20"/>
        </w:rPr>
        <w:t>táblázat</w:t>
      </w:r>
      <w:r w:rsidRPr="00476666">
        <w:rPr>
          <w:rFonts w:ascii="Georgia" w:hAnsi="Georgia" w:cs="Times New Roman"/>
          <w:i/>
          <w:iCs/>
          <w:sz w:val="20"/>
          <w:szCs w:val="20"/>
        </w:rPr>
        <w:t>: Az MSCI által lefedett fenntarthatósági témakörök</w:t>
      </w:r>
    </w:p>
    <w:p w14:paraId="56ACF2C0" w14:textId="7508F4FA" w:rsidR="00964907" w:rsidRPr="00476666" w:rsidRDefault="0081381B" w:rsidP="0081381B">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739325FA" w14:textId="143678F0" w:rsidR="0081381B" w:rsidRDefault="0081381B" w:rsidP="0081381B">
      <w:pPr>
        <w:spacing w:line="360" w:lineRule="auto"/>
        <w:ind w:firstLine="720"/>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91008" behindDoc="0" locked="0" layoutInCell="1" allowOverlap="1" wp14:anchorId="1B2B8601" wp14:editId="50269322">
            <wp:simplePos x="0" y="0"/>
            <wp:positionH relativeFrom="column">
              <wp:posOffset>1235075</wp:posOffset>
            </wp:positionH>
            <wp:positionV relativeFrom="paragraph">
              <wp:posOffset>3992880</wp:posOffset>
            </wp:positionV>
            <wp:extent cx="3230880" cy="1645920"/>
            <wp:effectExtent l="0" t="0" r="7620" b="0"/>
            <wp:wrapTopAndBottom/>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30880" cy="1645920"/>
                    </a:xfrm>
                    <a:prstGeom prst="rect">
                      <a:avLst/>
                    </a:prstGeom>
                  </pic:spPr>
                </pic:pic>
              </a:graphicData>
            </a:graphic>
            <wp14:sizeRelH relativeFrom="page">
              <wp14:pctWidth>0</wp14:pctWidth>
            </wp14:sizeRelH>
            <wp14:sizeRelV relativeFrom="page">
              <wp14:pctHeight>0</wp14:pctHeight>
            </wp14:sizeRelV>
          </wp:anchor>
        </w:drawing>
      </w:r>
      <w:r w:rsidR="00815550" w:rsidRPr="007E723C">
        <w:rPr>
          <w:rFonts w:ascii="Georgia" w:hAnsi="Georgia" w:cs="Times New Roman"/>
          <w:sz w:val="24"/>
          <w:szCs w:val="24"/>
        </w:rPr>
        <w:t xml:space="preserve">A végső ESG pontszám eléréséhez a fent felsorolt indikátorok megfelelő súlyozására van szükség. Az MSCI módszertana </w:t>
      </w:r>
      <w:r w:rsidR="00CA4CE3" w:rsidRPr="007E723C">
        <w:rPr>
          <w:rFonts w:ascii="Georgia" w:hAnsi="Georgia" w:cs="Times New Roman"/>
          <w:sz w:val="24"/>
          <w:szCs w:val="24"/>
        </w:rPr>
        <w:t>a környezeti és társadalmi kulcskérdések pontszámainak, illetve a vállalatirányítási dimenzió pontszámának súlyozott átlagá</w:t>
      </w:r>
      <w:r w:rsidR="00A0425C" w:rsidRPr="007E723C">
        <w:rPr>
          <w:rFonts w:ascii="Georgia" w:hAnsi="Georgia" w:cs="Times New Roman"/>
          <w:sz w:val="24"/>
          <w:szCs w:val="24"/>
        </w:rPr>
        <w:t xml:space="preserve">n alapul. A kulcsproblémák számítása során egy 0-10 skálán mérik fel az adott problémában </w:t>
      </w:r>
      <w:r w:rsidR="00115565" w:rsidRPr="007E723C">
        <w:rPr>
          <w:rFonts w:ascii="Georgia" w:hAnsi="Georgia" w:cs="Times New Roman"/>
          <w:sz w:val="24"/>
          <w:szCs w:val="24"/>
        </w:rPr>
        <w:t>rejlő kockázatot</w:t>
      </w:r>
      <w:r w:rsidR="00A0425C" w:rsidRPr="007E723C">
        <w:rPr>
          <w:rFonts w:ascii="Georgia" w:hAnsi="Georgia" w:cs="Times New Roman"/>
          <w:sz w:val="24"/>
          <w:szCs w:val="24"/>
        </w:rPr>
        <w:t xml:space="preserve"> és lehetősége</w:t>
      </w:r>
      <w:r w:rsidR="00115565" w:rsidRPr="007E723C">
        <w:rPr>
          <w:rFonts w:ascii="Georgia" w:hAnsi="Georgia" w:cs="Times New Roman"/>
          <w:sz w:val="24"/>
          <w:szCs w:val="24"/>
        </w:rPr>
        <w:t>t</w:t>
      </w:r>
      <w:r w:rsidR="00A0425C" w:rsidRPr="007E723C">
        <w:rPr>
          <w:rFonts w:ascii="Georgia" w:hAnsi="Georgia" w:cs="Times New Roman"/>
          <w:sz w:val="24"/>
          <w:szCs w:val="24"/>
        </w:rPr>
        <w:t>.</w:t>
      </w:r>
      <w:r w:rsidR="00CA4CE3" w:rsidRPr="007E723C">
        <w:rPr>
          <w:rFonts w:ascii="Georgia" w:hAnsi="Georgia" w:cs="Times New Roman"/>
          <w:sz w:val="24"/>
          <w:szCs w:val="24"/>
        </w:rPr>
        <w:t xml:space="preserve"> </w:t>
      </w:r>
      <w:r w:rsidR="00A0425C" w:rsidRPr="007E723C">
        <w:rPr>
          <w:rFonts w:ascii="Georgia" w:hAnsi="Georgia" w:cs="Times New Roman"/>
          <w:sz w:val="24"/>
          <w:szCs w:val="24"/>
        </w:rPr>
        <w:t>Mindegyik környezeti és társadalmi kulcskérdés általában a teljes ESG-besorolás 5–30%-át teszi ki</w:t>
      </w:r>
      <w:r w:rsidR="00115565" w:rsidRPr="007E723C">
        <w:rPr>
          <w:rFonts w:ascii="Georgia" w:hAnsi="Georgia" w:cs="Times New Roman"/>
          <w:sz w:val="24"/>
          <w:szCs w:val="24"/>
        </w:rPr>
        <w:t>, a súlyozás során figyelembe veszik, hogy az adott iparág a többi iparághoz képest mennyiben járult hozzá a pozitív vagy negatív környezeti és társadalmi tényezőhöz. Emellett vizsgálják azt is, hogy várhatóan milyen időtávon realizálódik az azonosított kockázat vagy lehetőség</w:t>
      </w:r>
      <w:r w:rsidR="00A0425C" w:rsidRPr="007E723C">
        <w:rPr>
          <w:rFonts w:ascii="Georgia" w:hAnsi="Georgia" w:cs="Times New Roman"/>
          <w:sz w:val="24"/>
          <w:szCs w:val="24"/>
        </w:rPr>
        <w:t xml:space="preserve">. </w:t>
      </w:r>
      <w:r w:rsidR="00115565" w:rsidRPr="007E723C">
        <w:rPr>
          <w:rFonts w:ascii="Georgia" w:hAnsi="Georgia" w:cs="Times New Roman"/>
          <w:sz w:val="24"/>
          <w:szCs w:val="24"/>
        </w:rPr>
        <w:t>Vagyis, ha az adott iparág a fő okozója a környezetre, társadalomra tett hatásnak és mindez rövid távon, 2 éven belül történik meg, akkor jóval magasabb az adott kulcsprobléma súlyozása, míg az ellenkező esetben alacsonyabb. Emellett</w:t>
      </w:r>
      <w:r w:rsidR="00A0425C" w:rsidRPr="007E723C">
        <w:rPr>
          <w:rFonts w:ascii="Georgia" w:hAnsi="Georgia" w:cs="Times New Roman"/>
          <w:sz w:val="24"/>
          <w:szCs w:val="24"/>
        </w:rPr>
        <w:t xml:space="preserve"> a vállalatirányítási dimenzió minimális súlya 33%. </w:t>
      </w:r>
      <w:r w:rsidR="00A77034" w:rsidRPr="007E723C">
        <w:rPr>
          <w:rFonts w:ascii="Georgia" w:hAnsi="Georgia" w:cs="Times New Roman"/>
          <w:sz w:val="24"/>
          <w:szCs w:val="24"/>
        </w:rPr>
        <w:t>A</w:t>
      </w:r>
      <w:r w:rsidR="00115565" w:rsidRPr="007E723C">
        <w:rPr>
          <w:rFonts w:ascii="Georgia" w:hAnsi="Georgia" w:cs="Times New Roman"/>
          <w:sz w:val="24"/>
          <w:szCs w:val="24"/>
        </w:rPr>
        <w:t xml:space="preserve">z előzőkkel ellentétben </w:t>
      </w:r>
      <w:r w:rsidR="00A77034" w:rsidRPr="007E723C">
        <w:rPr>
          <w:rFonts w:ascii="Georgia" w:hAnsi="Georgia" w:cs="Times New Roman"/>
          <w:sz w:val="24"/>
          <w:szCs w:val="24"/>
        </w:rPr>
        <w:t xml:space="preserve">ezt a dimenziót abszolút módon értékelik, vagyis egy 0-10 skálát használnak. </w:t>
      </w:r>
    </w:p>
    <w:p w14:paraId="6F24CFAB" w14:textId="77777777" w:rsidR="0081381B" w:rsidRPr="00476666" w:rsidRDefault="0081381B"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xml:space="preserve">: Az MSCI pontozási rendszere </w:t>
      </w:r>
    </w:p>
    <w:p w14:paraId="723FCA08" w14:textId="77777777" w:rsidR="0081381B" w:rsidRPr="00476666" w:rsidRDefault="0081381B" w:rsidP="0081381B">
      <w:pPr>
        <w:pStyle w:val="Listaszerbekezds"/>
        <w:spacing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40F4A49B" w14:textId="7E056C0B" w:rsidR="0081381B" w:rsidRDefault="00CA4CE3" w:rsidP="0081381B">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Így </w:t>
      </w:r>
      <w:r w:rsidR="00883D62" w:rsidRPr="007E723C">
        <w:rPr>
          <w:rFonts w:ascii="Georgia" w:hAnsi="Georgia" w:cs="Times New Roman"/>
          <w:sz w:val="24"/>
          <w:szCs w:val="24"/>
        </w:rPr>
        <w:t>minden értékelt vállalat egy iparágilag</w:t>
      </w:r>
      <w:r w:rsidRPr="007E723C">
        <w:rPr>
          <w:rFonts w:ascii="Georgia" w:hAnsi="Georgia" w:cs="Times New Roman"/>
          <w:sz w:val="24"/>
          <w:szCs w:val="24"/>
        </w:rPr>
        <w:t xml:space="preserve"> kiigazított pontszámo</w:t>
      </w:r>
      <w:r w:rsidR="00883D62" w:rsidRPr="007E723C">
        <w:rPr>
          <w:rFonts w:ascii="Georgia" w:hAnsi="Georgia" w:cs="Times New Roman"/>
          <w:sz w:val="24"/>
          <w:szCs w:val="24"/>
        </w:rPr>
        <w:t>t kap</w:t>
      </w:r>
      <w:r w:rsidRPr="007E723C">
        <w:rPr>
          <w:rFonts w:ascii="Georgia" w:hAnsi="Georgia" w:cs="Times New Roman"/>
          <w:sz w:val="24"/>
          <w:szCs w:val="24"/>
        </w:rPr>
        <w:t xml:space="preserve">, amelyek az MSCI legrosszabb </w:t>
      </w:r>
      <w:r w:rsidR="00883D62" w:rsidRPr="007E723C">
        <w:rPr>
          <w:rFonts w:ascii="Georgia" w:hAnsi="Georgia" w:cs="Times New Roman"/>
          <w:sz w:val="24"/>
          <w:szCs w:val="24"/>
        </w:rPr>
        <w:t xml:space="preserve">(CCC) </w:t>
      </w:r>
      <w:r w:rsidRPr="007E723C">
        <w:rPr>
          <w:rFonts w:ascii="Georgia" w:hAnsi="Georgia" w:cs="Times New Roman"/>
          <w:sz w:val="24"/>
          <w:szCs w:val="24"/>
        </w:rPr>
        <w:t>és legjobb</w:t>
      </w:r>
      <w:r w:rsidR="00883D62" w:rsidRPr="007E723C">
        <w:rPr>
          <w:rFonts w:ascii="Georgia" w:hAnsi="Georgia" w:cs="Times New Roman"/>
          <w:sz w:val="24"/>
          <w:szCs w:val="24"/>
        </w:rPr>
        <w:t xml:space="preserve"> (AAA)</w:t>
      </w:r>
      <w:r w:rsidRPr="007E723C">
        <w:rPr>
          <w:rFonts w:ascii="Georgia" w:hAnsi="Georgia" w:cs="Times New Roman"/>
          <w:sz w:val="24"/>
          <w:szCs w:val="24"/>
        </w:rPr>
        <w:t xml:space="preserve"> besorolása közé esnek. </w:t>
      </w:r>
      <w:r w:rsidR="00883D62" w:rsidRPr="007E723C">
        <w:rPr>
          <w:rFonts w:ascii="Georgia" w:hAnsi="Georgia" w:cs="Times New Roman"/>
          <w:sz w:val="24"/>
          <w:szCs w:val="24"/>
        </w:rPr>
        <w:t xml:space="preserve">A </w:t>
      </w:r>
      <w:r w:rsidR="0081381B">
        <w:rPr>
          <w:rFonts w:ascii="Georgia" w:hAnsi="Georgia" w:cs="Times New Roman"/>
          <w:sz w:val="24"/>
          <w:szCs w:val="24"/>
        </w:rPr>
        <w:lastRenderedPageBreak/>
        <w:t>fenti</w:t>
      </w:r>
      <w:r w:rsidR="00883D62" w:rsidRPr="007E723C">
        <w:rPr>
          <w:rFonts w:ascii="Georgia" w:hAnsi="Georgia" w:cs="Times New Roman"/>
          <w:sz w:val="24"/>
          <w:szCs w:val="24"/>
        </w:rPr>
        <w:t xml:space="preserve"> táblázat </w:t>
      </w:r>
      <w:r w:rsidR="0081381B">
        <w:rPr>
          <w:rFonts w:ascii="Georgia" w:hAnsi="Georgia" w:cs="Times New Roman"/>
          <w:sz w:val="24"/>
          <w:szCs w:val="24"/>
        </w:rPr>
        <w:t xml:space="preserve">(5. táblázat) </w:t>
      </w:r>
      <w:r w:rsidR="00883D62" w:rsidRPr="007E723C">
        <w:rPr>
          <w:rFonts w:ascii="Georgia" w:hAnsi="Georgia" w:cs="Times New Roman"/>
          <w:sz w:val="24"/>
          <w:szCs w:val="24"/>
        </w:rPr>
        <w:t>a pontszámok megfelelő besorolását szemlélteti.</w:t>
      </w:r>
      <w:r w:rsidR="00BB7367" w:rsidRPr="007E723C">
        <w:rPr>
          <w:rFonts w:ascii="Georgia" w:hAnsi="Georgia" w:cs="Times New Roman"/>
          <w:sz w:val="24"/>
          <w:szCs w:val="24"/>
        </w:rPr>
        <w:t xml:space="preserve"> Fontos azonban kiemelni, hogy ezek az eredmények nem abszolút mutatók, hanem az adott vállalat iparági társaihoz viszonyítva értelmezendők. </w:t>
      </w:r>
    </w:p>
    <w:p w14:paraId="02B028EB" w14:textId="01A924A6" w:rsidR="00A77034" w:rsidRPr="007E723C" w:rsidRDefault="001850E2" w:rsidP="00C1330E">
      <w:pPr>
        <w:spacing w:after="0" w:line="360" w:lineRule="auto"/>
        <w:ind w:firstLine="720"/>
        <w:jc w:val="both"/>
        <w:rPr>
          <w:rFonts w:ascii="Georgia" w:hAnsi="Georgia" w:cs="Times New Roman"/>
          <w:b/>
          <w:bCs/>
          <w:i/>
          <w:iCs/>
          <w:sz w:val="24"/>
          <w:szCs w:val="24"/>
        </w:rPr>
      </w:pPr>
      <w:r w:rsidRPr="0035351E">
        <w:rPr>
          <w:rFonts w:ascii="Georgia" w:hAnsi="Georgia" w:cs="Times New Roman"/>
          <w:b/>
          <w:bCs/>
          <w:i/>
          <w:iCs/>
          <w:sz w:val="24"/>
          <w:szCs w:val="24"/>
        </w:rPr>
        <w:t>Sustainalytics</w:t>
      </w:r>
    </w:p>
    <w:p w14:paraId="6A3884D5" w14:textId="1681C684" w:rsidR="000550FA" w:rsidRPr="007E723C" w:rsidRDefault="000550FA" w:rsidP="000550FA">
      <w:pPr>
        <w:spacing w:line="360" w:lineRule="auto"/>
        <w:ind w:firstLine="720"/>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92032" behindDoc="0" locked="0" layoutInCell="1" allowOverlap="1" wp14:anchorId="195DE904" wp14:editId="39E6BDE9">
            <wp:simplePos x="0" y="0"/>
            <wp:positionH relativeFrom="column">
              <wp:posOffset>1930400</wp:posOffset>
            </wp:positionH>
            <wp:positionV relativeFrom="paragraph">
              <wp:posOffset>3164205</wp:posOffset>
            </wp:positionV>
            <wp:extent cx="1996440" cy="1249680"/>
            <wp:effectExtent l="0" t="0" r="3810" b="7620"/>
            <wp:wrapTopAndBottom/>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96440" cy="1249680"/>
                    </a:xfrm>
                    <a:prstGeom prst="rect">
                      <a:avLst/>
                    </a:prstGeom>
                  </pic:spPr>
                </pic:pic>
              </a:graphicData>
            </a:graphic>
            <wp14:sizeRelH relativeFrom="page">
              <wp14:pctWidth>0</wp14:pctWidth>
            </wp14:sizeRelH>
            <wp14:sizeRelV relativeFrom="page">
              <wp14:pctHeight>0</wp14:pctHeight>
            </wp14:sizeRelV>
          </wp:anchor>
        </w:drawing>
      </w:r>
      <w:r w:rsidR="008570F6" w:rsidRPr="007E723C">
        <w:rPr>
          <w:rFonts w:ascii="Georgia" w:hAnsi="Georgia" w:cs="Times New Roman"/>
          <w:sz w:val="24"/>
          <w:szCs w:val="24"/>
        </w:rPr>
        <w:t xml:space="preserve">A Sustainalytics ESG értékelési módszertana </w:t>
      </w:r>
      <w:r w:rsidR="0054033F" w:rsidRPr="007E723C">
        <w:rPr>
          <w:rFonts w:ascii="Georgia" w:hAnsi="Georgia" w:cs="Times New Roman"/>
          <w:sz w:val="24"/>
          <w:szCs w:val="24"/>
        </w:rPr>
        <w:t>egy kétdimenziós lényegességi keretrendszeren alapul, amely méri az adott vállalat iparágspecifikus lényeges ESG kockázati kitettségét és azt, hogy a vállalat milyen jó</w:t>
      </w:r>
      <w:r w:rsidR="000D1D26" w:rsidRPr="007E723C">
        <w:rPr>
          <w:rFonts w:ascii="Georgia" w:hAnsi="Georgia" w:cs="Times New Roman"/>
          <w:sz w:val="24"/>
          <w:szCs w:val="24"/>
        </w:rPr>
        <w:t>l</w:t>
      </w:r>
      <w:r w:rsidR="0054033F" w:rsidRPr="007E723C">
        <w:rPr>
          <w:rFonts w:ascii="Georgia" w:hAnsi="Georgia" w:cs="Times New Roman"/>
          <w:sz w:val="24"/>
          <w:szCs w:val="24"/>
        </w:rPr>
        <w:t xml:space="preserve"> kezeli ezeket a kockázatokat. Az egyes iparágakhoz kapcsolódó lényeges ESG problémákat a Sustainalytics kutatócsoportja választja ki és azt vizsgálják, hogy az adott vállalat mennyire teljesít jól ezeknek a problémáknak a kezelésében. </w:t>
      </w:r>
      <w:r w:rsidR="00DD7C77" w:rsidRPr="007E723C">
        <w:rPr>
          <w:rFonts w:ascii="Georgia" w:hAnsi="Georgia" w:cs="Times New Roman"/>
          <w:sz w:val="24"/>
          <w:szCs w:val="24"/>
        </w:rPr>
        <w:t xml:space="preserve">Ezt a kapcsolódó indikátorok súlyozott átlagaként számolják, melyet egy 0-100 skálán mérnek, ami azt jelenti, hogy az adott probléma, kockázat kezelése hány százalékban történt meg. </w:t>
      </w:r>
      <w:r w:rsidR="0054033F" w:rsidRPr="007E723C">
        <w:rPr>
          <w:rFonts w:ascii="Georgia" w:hAnsi="Georgia" w:cs="Times New Roman"/>
          <w:sz w:val="24"/>
          <w:szCs w:val="24"/>
        </w:rPr>
        <w:t>Ennek eredményeként</w:t>
      </w:r>
      <w:r w:rsidR="004A60B3" w:rsidRPr="007E723C">
        <w:rPr>
          <w:rFonts w:ascii="Georgia" w:hAnsi="Georgia" w:cs="Times New Roman"/>
          <w:sz w:val="24"/>
          <w:szCs w:val="24"/>
        </w:rPr>
        <w:t xml:space="preserve"> az ESG kockázatnak való kitettség szempontjából</w:t>
      </w:r>
      <w:r w:rsidR="0054033F" w:rsidRPr="007E723C">
        <w:rPr>
          <w:rFonts w:ascii="Georgia" w:hAnsi="Georgia" w:cs="Times New Roman"/>
          <w:sz w:val="24"/>
          <w:szCs w:val="24"/>
        </w:rPr>
        <w:t xml:space="preserve"> öt kategóriába sorolhatók a vállalatok: elhanyagolható, alacsony, közepes, magas, súlyos.</w:t>
      </w:r>
      <w:r w:rsidR="00DD7C77" w:rsidRPr="007E723C">
        <w:rPr>
          <w:rFonts w:ascii="Georgia" w:hAnsi="Georgia" w:cs="Times New Roman"/>
          <w:sz w:val="24"/>
          <w:szCs w:val="24"/>
        </w:rPr>
        <w:t xml:space="preserve"> A következő táblázat az egyes besorolásokhoz tartozó pontszámokat szemlélteti.</w:t>
      </w:r>
    </w:p>
    <w:p w14:paraId="3555E56F" w14:textId="2ACBA4D7" w:rsidR="00CD6083" w:rsidRPr="00476666" w:rsidRDefault="00CD6083"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xml:space="preserve">: A Sustainalytics pontozási rendszere </w:t>
      </w:r>
    </w:p>
    <w:p w14:paraId="71DFE0E0" w14:textId="5399C5AF" w:rsidR="00964907" w:rsidRPr="00476666" w:rsidRDefault="00CD6083" w:rsidP="0081381B">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24C5EB52" w14:textId="2E08F3CC" w:rsidR="00E87811" w:rsidRPr="007E723C" w:rsidRDefault="00E87811" w:rsidP="00F94308">
      <w:pPr>
        <w:spacing w:after="0" w:line="360" w:lineRule="auto"/>
        <w:jc w:val="both"/>
        <w:rPr>
          <w:rFonts w:ascii="Georgia" w:hAnsi="Georgia" w:cs="Times New Roman"/>
          <w:b/>
          <w:bCs/>
          <w:i/>
          <w:iCs/>
          <w:sz w:val="24"/>
          <w:szCs w:val="24"/>
        </w:rPr>
      </w:pPr>
      <w:r w:rsidRPr="007E723C">
        <w:rPr>
          <w:rFonts w:ascii="Georgia" w:hAnsi="Georgia" w:cs="Times New Roman"/>
          <w:b/>
          <w:bCs/>
          <w:i/>
          <w:iCs/>
          <w:sz w:val="24"/>
          <w:szCs w:val="24"/>
        </w:rPr>
        <w:tab/>
        <w:t>Refinitiv</w:t>
      </w:r>
    </w:p>
    <w:p w14:paraId="43670443" w14:textId="65559F18" w:rsidR="008C67AC" w:rsidRDefault="00E87811" w:rsidP="00DB0C21">
      <w:pPr>
        <w:spacing w:line="360" w:lineRule="auto"/>
        <w:jc w:val="both"/>
        <w:rPr>
          <w:rFonts w:ascii="Georgia" w:hAnsi="Georgia" w:cs="Times New Roman"/>
          <w:sz w:val="24"/>
          <w:szCs w:val="24"/>
        </w:rPr>
      </w:pPr>
      <w:r w:rsidRPr="007E723C">
        <w:rPr>
          <w:rFonts w:ascii="Georgia" w:hAnsi="Georgia" w:cs="Times New Roman"/>
          <w:b/>
          <w:bCs/>
          <w:i/>
          <w:iCs/>
          <w:sz w:val="24"/>
          <w:szCs w:val="24"/>
        </w:rPr>
        <w:tab/>
      </w:r>
      <w:r w:rsidR="009B3476" w:rsidRPr="007E723C">
        <w:rPr>
          <w:rFonts w:ascii="Georgia" w:hAnsi="Georgia" w:cs="Times New Roman"/>
          <w:sz w:val="24"/>
          <w:szCs w:val="24"/>
        </w:rPr>
        <w:t>A Refinitiv több, mint 630 vállalati szintű ESG mérést végez, amelyek közül 186 mutatószámot használ fel a végső ESG pontszám meghatározásához. Ezeket a mérőszámokat 10 kategóriába sorolják, amelyek mindegyike az ESG valamelyik dimenziójához kötődik.</w:t>
      </w:r>
      <w:r w:rsidR="009F143B">
        <w:rPr>
          <w:rFonts w:ascii="Georgia" w:hAnsi="Georgia" w:cs="Times New Roman"/>
          <w:sz w:val="24"/>
          <w:szCs w:val="24"/>
        </w:rPr>
        <w:t xml:space="preserve"> A környezeti szegmens esetében a Refinitiv a kibocsátás, az innováció és a felhasznált erőforrások témaköréhez kapcsol különböző mutatókat. A társadalmi szegmensre vonatkozóan a közösség, az emberi jogok, a termékfelelősség és a munkaerő témakörei jelennek meg, míg a vállalatirányítási szegmens esetében a CSR startégiához, a menedzsmenthez és a </w:t>
      </w:r>
      <w:r w:rsidR="009F143B">
        <w:rPr>
          <w:rFonts w:ascii="Georgia" w:hAnsi="Georgia" w:cs="Times New Roman"/>
          <w:sz w:val="24"/>
          <w:szCs w:val="24"/>
        </w:rPr>
        <w:lastRenderedPageBreak/>
        <w:t>részvényesekhez kötődő mutatókkal igyekeznek felmérni a vállalatok fenntarthatósági teljesítményét.</w:t>
      </w:r>
    </w:p>
    <w:p w14:paraId="69C54963" w14:textId="7339C9EE" w:rsidR="001B745F" w:rsidRPr="001B745F" w:rsidRDefault="001B745F" w:rsidP="001B745F">
      <w:pPr>
        <w:spacing w:after="0" w:line="360" w:lineRule="auto"/>
        <w:ind w:firstLine="720"/>
        <w:jc w:val="both"/>
        <w:rPr>
          <w:rFonts w:ascii="Georgia" w:hAnsi="Georgia" w:cs="Times New Roman"/>
          <w:sz w:val="24"/>
          <w:szCs w:val="24"/>
        </w:rPr>
      </w:pPr>
      <w:r>
        <w:rPr>
          <w:rFonts w:ascii="Georgia" w:hAnsi="Georgia" w:cs="Times New Roman"/>
          <w:noProof/>
          <w:sz w:val="18"/>
          <w:szCs w:val="18"/>
          <w:lang w:eastAsia="hu-HU"/>
        </w:rPr>
        <w:drawing>
          <wp:anchor distT="0" distB="0" distL="114300" distR="114300" simplePos="0" relativeHeight="251694080" behindDoc="0" locked="0" layoutInCell="1" allowOverlap="1" wp14:anchorId="404527BA" wp14:editId="4B275F54">
            <wp:simplePos x="0" y="0"/>
            <wp:positionH relativeFrom="column">
              <wp:posOffset>604520</wp:posOffset>
            </wp:positionH>
            <wp:positionV relativeFrom="paragraph">
              <wp:posOffset>3905250</wp:posOffset>
            </wp:positionV>
            <wp:extent cx="3558540" cy="2766060"/>
            <wp:effectExtent l="0" t="0" r="3810" b="0"/>
            <wp:wrapTopAndBottom/>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58540" cy="2766060"/>
                    </a:xfrm>
                    <a:prstGeom prst="rect">
                      <a:avLst/>
                    </a:prstGeom>
                  </pic:spPr>
                </pic:pic>
              </a:graphicData>
            </a:graphic>
            <wp14:sizeRelH relativeFrom="page">
              <wp14:pctWidth>0</wp14:pctWidth>
            </wp14:sizeRelH>
            <wp14:sizeRelV relativeFrom="page">
              <wp14:pctHeight>0</wp14:pctHeight>
            </wp14:sizeRelV>
          </wp:anchor>
        </w:drawing>
      </w:r>
      <w:r w:rsidR="009F143B">
        <w:rPr>
          <w:rFonts w:ascii="Georgia" w:hAnsi="Georgia" w:cs="Times New Roman"/>
          <w:sz w:val="24"/>
          <w:szCs w:val="24"/>
        </w:rPr>
        <w:t>A felsorolt</w:t>
      </w:r>
      <w:r w:rsidR="001B0ECF" w:rsidRPr="007E723C">
        <w:rPr>
          <w:rFonts w:ascii="Georgia" w:hAnsi="Georgia" w:cs="Times New Roman"/>
          <w:sz w:val="24"/>
          <w:szCs w:val="24"/>
        </w:rPr>
        <w:t xml:space="preserve"> kategóriák pontszámai adják majd az ESG egyes dimenzióinak pontszámait oly módon, hogy az egyes kategóriák súlyának relatív összegét veszik. Ezek a súlyok azonban a környezeti és a társadalmi tényezők esetében iparáganként eltérő, míg a vállalatirányítási dimenzió esetében iparáganként állandó értéket vesz</w:t>
      </w:r>
      <w:r w:rsidR="007B687A" w:rsidRPr="007E723C">
        <w:rPr>
          <w:rFonts w:ascii="Georgia" w:hAnsi="Georgia" w:cs="Times New Roman"/>
          <w:sz w:val="24"/>
          <w:szCs w:val="24"/>
        </w:rPr>
        <w:t>nek</w:t>
      </w:r>
      <w:r w:rsidR="001B0ECF" w:rsidRPr="007E723C">
        <w:rPr>
          <w:rFonts w:ascii="Georgia" w:hAnsi="Georgia" w:cs="Times New Roman"/>
          <w:sz w:val="24"/>
          <w:szCs w:val="24"/>
        </w:rPr>
        <w:t xml:space="preserve"> fel. </w:t>
      </w:r>
      <w:r w:rsidR="007B687A" w:rsidRPr="007E723C">
        <w:rPr>
          <w:rFonts w:ascii="Georgia" w:hAnsi="Georgia" w:cs="Times New Roman"/>
          <w:sz w:val="24"/>
          <w:szCs w:val="24"/>
        </w:rPr>
        <w:t>Ennek a kalkulációnak az eredményeként jönnek létre az összesített ESG pontszámok, amelyek alapján 4 fő kategóriába és azon belül is három alkategóriába lehet sorolni a vállalatokat ESG teljesítményük alapján.</w:t>
      </w:r>
      <w:r w:rsidR="005D7AC2" w:rsidRPr="007E723C">
        <w:rPr>
          <w:rFonts w:ascii="Georgia" w:hAnsi="Georgia" w:cs="Times New Roman"/>
          <w:sz w:val="24"/>
          <w:szCs w:val="24"/>
        </w:rPr>
        <w:t xml:space="preserve"> </w:t>
      </w:r>
      <w:r w:rsidR="0010762E" w:rsidRPr="007E723C">
        <w:rPr>
          <w:rFonts w:ascii="Georgia" w:hAnsi="Georgia" w:cs="Times New Roman"/>
          <w:sz w:val="24"/>
          <w:szCs w:val="24"/>
        </w:rPr>
        <w:t xml:space="preserve">„D” minősítést kapnak azok a vállalatok, melyeknek gyenge az ESG teljesítménye és nem biztosítanak megfelelő mértékű átláthatóságot az ESG adatok közzétételében. A „C” minősítéssel bíró vállalatok már elfogadható ESG teljesítményt nyújtanak, míg ESG riportjaik átláthatósága mérsékelt. A „B” minősítésű vállalatok jó ESG teljesítménnyel jellemezhetőek, melyhez átlagon felüli </w:t>
      </w:r>
      <w:r w:rsidR="0002279B" w:rsidRPr="007E723C">
        <w:rPr>
          <w:rFonts w:ascii="Georgia" w:hAnsi="Georgia" w:cs="Times New Roman"/>
          <w:sz w:val="24"/>
          <w:szCs w:val="24"/>
        </w:rPr>
        <w:t>beszámolási transzparencia is társul. „A” minősítést értelemszerűen azok a vállalatok szereznek, amelyek kiemelkedő ESG teljesítményükkel és ESG adataik magas fokú átláthatóság</w:t>
      </w:r>
      <w:r w:rsidR="001E741F" w:rsidRPr="007E723C">
        <w:rPr>
          <w:rFonts w:ascii="Georgia" w:hAnsi="Georgia" w:cs="Times New Roman"/>
          <w:sz w:val="24"/>
          <w:szCs w:val="24"/>
        </w:rPr>
        <w:t>a</w:t>
      </w:r>
      <w:r w:rsidR="0002279B" w:rsidRPr="007E723C">
        <w:rPr>
          <w:rFonts w:ascii="Georgia" w:hAnsi="Georgia" w:cs="Times New Roman"/>
          <w:sz w:val="24"/>
          <w:szCs w:val="24"/>
        </w:rPr>
        <w:t xml:space="preserve"> révén egyértelműen a piac ESG úttörőinek számítanak.</w:t>
      </w:r>
    </w:p>
    <w:p w14:paraId="617FA0CF" w14:textId="615E75EE" w:rsidR="00CD6083" w:rsidRPr="00476666" w:rsidRDefault="00CD6083"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A Refinitiv pontozási rendszere</w:t>
      </w:r>
    </w:p>
    <w:p w14:paraId="0ACD8DF4" w14:textId="5A40C011" w:rsidR="001B745F" w:rsidRPr="00476666" w:rsidRDefault="00CD6083" w:rsidP="00476666">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338B1ECD" w14:textId="5DCC89C1" w:rsidR="00E87811" w:rsidRPr="007E723C" w:rsidRDefault="00E87811" w:rsidP="00CA04B4">
      <w:pPr>
        <w:spacing w:after="0" w:line="360" w:lineRule="auto"/>
        <w:ind w:firstLine="720"/>
        <w:jc w:val="both"/>
        <w:rPr>
          <w:rFonts w:ascii="Georgia" w:hAnsi="Georgia" w:cs="Times New Roman"/>
          <w:b/>
          <w:bCs/>
          <w:i/>
          <w:iCs/>
          <w:sz w:val="24"/>
          <w:szCs w:val="24"/>
        </w:rPr>
      </w:pPr>
      <w:r w:rsidRPr="0035351E">
        <w:rPr>
          <w:rFonts w:ascii="Georgia" w:hAnsi="Georgia" w:cs="Times New Roman"/>
          <w:b/>
          <w:bCs/>
          <w:i/>
          <w:iCs/>
          <w:sz w:val="24"/>
          <w:szCs w:val="24"/>
        </w:rPr>
        <w:t>S&amp;P</w:t>
      </w:r>
    </w:p>
    <w:p w14:paraId="13DD99B5" w14:textId="27A11E5F" w:rsidR="00964907" w:rsidRPr="009F143B" w:rsidRDefault="00B90111" w:rsidP="009F143B">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 </w:t>
      </w:r>
      <w:r w:rsidR="001E741F" w:rsidRPr="007E723C">
        <w:rPr>
          <w:rFonts w:ascii="Georgia" w:hAnsi="Georgia" w:cs="Times New Roman"/>
          <w:sz w:val="24"/>
          <w:szCs w:val="24"/>
        </w:rPr>
        <w:t>S&amp;P</w:t>
      </w:r>
      <w:r w:rsidRPr="007E723C">
        <w:rPr>
          <w:rFonts w:ascii="Georgia" w:hAnsi="Georgia" w:cs="Times New Roman"/>
          <w:sz w:val="24"/>
          <w:szCs w:val="24"/>
        </w:rPr>
        <w:t xml:space="preserve"> olyan módszertant dolgozott ki a vállalatok végső fenntarthatósági eredményének meghatározására, melynek során pontozzák a vállalatok teljesítményét, majd ezeknek a pontoknak a megfelelő súlyozása és összegzése </w:t>
      </w:r>
      <w:r w:rsidRPr="007E723C">
        <w:rPr>
          <w:rFonts w:ascii="Georgia" w:hAnsi="Georgia" w:cs="Times New Roman"/>
          <w:sz w:val="24"/>
          <w:szCs w:val="24"/>
        </w:rPr>
        <w:lastRenderedPageBreak/>
        <w:t>adja a végső, összesített ESG pontszámot. Ennek a folyamatnak az első lépése egy egyénileg kitölten</w:t>
      </w:r>
      <w:r w:rsidR="00E15CA7" w:rsidRPr="007E723C">
        <w:rPr>
          <w:rFonts w:ascii="Georgia" w:hAnsi="Georgia" w:cs="Times New Roman"/>
          <w:sz w:val="24"/>
          <w:szCs w:val="24"/>
        </w:rPr>
        <w:t>dő, több mint 130 kérdést magába foglaló</w:t>
      </w:r>
      <w:r w:rsidRPr="007E723C">
        <w:rPr>
          <w:rFonts w:ascii="Georgia" w:hAnsi="Georgia" w:cs="Times New Roman"/>
          <w:sz w:val="24"/>
          <w:szCs w:val="24"/>
        </w:rPr>
        <w:t xml:space="preserve"> kérdőív, melyben a válaszokat 0-100 skálán pontozzák.</w:t>
      </w:r>
      <w:r w:rsidR="00E15CA7" w:rsidRPr="007E723C">
        <w:rPr>
          <w:rFonts w:ascii="Georgia" w:hAnsi="Georgia" w:cs="Times New Roman"/>
          <w:sz w:val="24"/>
          <w:szCs w:val="24"/>
        </w:rPr>
        <w:t xml:space="preserve"> Így a kérdőív és a vállalat által közzétett dokumentumok alapján több, mint 1000 adatpont áll elő.</w:t>
      </w:r>
      <w:r w:rsidRPr="007E723C">
        <w:rPr>
          <w:rFonts w:ascii="Georgia" w:hAnsi="Georgia" w:cs="Times New Roman"/>
          <w:sz w:val="24"/>
          <w:szCs w:val="24"/>
        </w:rPr>
        <w:t xml:space="preserve"> Ezeket a</w:t>
      </w:r>
      <w:r w:rsidR="00E15CA7" w:rsidRPr="007E723C">
        <w:rPr>
          <w:rFonts w:ascii="Georgia" w:hAnsi="Georgia" w:cs="Times New Roman"/>
          <w:sz w:val="24"/>
          <w:szCs w:val="24"/>
        </w:rPr>
        <w:t xml:space="preserve">z adatokat </w:t>
      </w:r>
      <w:r w:rsidRPr="007E723C">
        <w:rPr>
          <w:rFonts w:ascii="Georgia" w:hAnsi="Georgia" w:cs="Times New Roman"/>
          <w:sz w:val="24"/>
          <w:szCs w:val="24"/>
        </w:rPr>
        <w:t xml:space="preserve">már előzetesen kritériumhoz kötik, ahol megfelelő súlyozással az egyes kritérium szinteken összesítik a válaszokra adott pontszámokat. </w:t>
      </w:r>
      <w:r w:rsidR="000C6C3F" w:rsidRPr="007E723C">
        <w:rPr>
          <w:rFonts w:ascii="Georgia" w:hAnsi="Georgia" w:cs="Times New Roman"/>
          <w:sz w:val="24"/>
          <w:szCs w:val="24"/>
        </w:rPr>
        <w:t xml:space="preserve">Ezt követően az egyes kritérium szinteket az ESG három dimenziójához rendelik, </w:t>
      </w:r>
      <w:r w:rsidR="00980C93" w:rsidRPr="007E723C">
        <w:rPr>
          <w:rFonts w:ascii="Georgia" w:hAnsi="Georgia" w:cs="Times New Roman"/>
          <w:sz w:val="24"/>
          <w:szCs w:val="24"/>
        </w:rPr>
        <w:t>dimenziónként átlagosan 16-27 kritériumot lefedve. Ebben az esetben</w:t>
      </w:r>
      <w:r w:rsidR="000C6C3F" w:rsidRPr="007E723C">
        <w:rPr>
          <w:rFonts w:ascii="Georgia" w:hAnsi="Georgia" w:cs="Times New Roman"/>
          <w:sz w:val="24"/>
          <w:szCs w:val="24"/>
        </w:rPr>
        <w:t xml:space="preserve"> szintén egy előre meghatározott súlyozásról beszélhetünk</w:t>
      </w:r>
      <w:r w:rsidR="00E15CA7" w:rsidRPr="007E723C">
        <w:rPr>
          <w:rFonts w:ascii="Georgia" w:hAnsi="Georgia" w:cs="Times New Roman"/>
          <w:sz w:val="24"/>
          <w:szCs w:val="24"/>
        </w:rPr>
        <w:t>.</w:t>
      </w:r>
      <w:r w:rsidR="000C6C3F" w:rsidRPr="007E723C">
        <w:rPr>
          <w:rFonts w:ascii="Georgia" w:hAnsi="Georgia" w:cs="Times New Roman"/>
          <w:sz w:val="24"/>
          <w:szCs w:val="24"/>
        </w:rPr>
        <w:t xml:space="preserve"> </w:t>
      </w:r>
      <w:r w:rsidR="00E15CA7" w:rsidRPr="007E723C">
        <w:rPr>
          <w:rFonts w:ascii="Georgia" w:hAnsi="Georgia" w:cs="Times New Roman"/>
          <w:sz w:val="24"/>
          <w:szCs w:val="24"/>
        </w:rPr>
        <w:t>M</w:t>
      </w:r>
      <w:r w:rsidR="000C6C3F" w:rsidRPr="007E723C">
        <w:rPr>
          <w:rFonts w:ascii="Georgia" w:hAnsi="Georgia" w:cs="Times New Roman"/>
          <w:sz w:val="24"/>
          <w:szCs w:val="24"/>
        </w:rPr>
        <w:t>inden kritérium szintnek van</w:t>
      </w:r>
      <w:r w:rsidR="00E15CA7" w:rsidRPr="007E723C">
        <w:rPr>
          <w:rFonts w:ascii="Georgia" w:hAnsi="Georgia" w:cs="Times New Roman"/>
          <w:sz w:val="24"/>
          <w:szCs w:val="24"/>
        </w:rPr>
        <w:t xml:space="preserve"> ugyanis</w:t>
      </w:r>
      <w:r w:rsidR="000C6C3F" w:rsidRPr="007E723C">
        <w:rPr>
          <w:rFonts w:ascii="Georgia" w:hAnsi="Georgia" w:cs="Times New Roman"/>
          <w:sz w:val="24"/>
          <w:szCs w:val="24"/>
        </w:rPr>
        <w:t xml:space="preserve"> egy súlya, így az adott dimenzióhoz tartozó kritériumok súlyainak összege adja majd meg az adott ESG szempont végső súlyát. Ennek eredményeképp</w:t>
      </w:r>
      <w:r w:rsidR="009A2914" w:rsidRPr="007E723C">
        <w:rPr>
          <w:rFonts w:ascii="Georgia" w:hAnsi="Georgia" w:cs="Times New Roman"/>
          <w:sz w:val="24"/>
          <w:szCs w:val="24"/>
        </w:rPr>
        <w:t xml:space="preserve"> például</w:t>
      </w:r>
      <w:r w:rsidR="000C6C3F" w:rsidRPr="007E723C">
        <w:rPr>
          <w:rFonts w:ascii="Georgia" w:hAnsi="Georgia" w:cs="Times New Roman"/>
          <w:sz w:val="24"/>
          <w:szCs w:val="24"/>
        </w:rPr>
        <w:t xml:space="preserve"> a környezeti 38/100, a társadalmi 27/100, míg a vállalatirányítási szempont 35/100 részt képvisel a végső, összesített pontszámból. Ez a kumulált eredmény egyébként 0-100 skálán adódik</w:t>
      </w:r>
      <w:r w:rsidR="00980C93" w:rsidRPr="007E723C">
        <w:rPr>
          <w:rFonts w:ascii="Georgia" w:hAnsi="Georgia" w:cs="Times New Roman"/>
          <w:sz w:val="24"/>
          <w:szCs w:val="24"/>
        </w:rPr>
        <w:t>, ahol az egyre magasabb érték egyre jobb ESG teljesítményt jelent</w:t>
      </w:r>
      <w:r w:rsidR="000C6C3F" w:rsidRPr="007E723C">
        <w:rPr>
          <w:rFonts w:ascii="Georgia" w:hAnsi="Georgia" w:cs="Times New Roman"/>
          <w:sz w:val="24"/>
          <w:szCs w:val="24"/>
        </w:rPr>
        <w:t>.</w:t>
      </w:r>
      <w:r w:rsidR="00980C93" w:rsidRPr="007E723C">
        <w:rPr>
          <w:rFonts w:ascii="Georgia" w:hAnsi="Georgia" w:cs="Times New Roman"/>
          <w:sz w:val="24"/>
          <w:szCs w:val="24"/>
        </w:rPr>
        <w:t xml:space="preserve"> </w:t>
      </w:r>
    </w:p>
    <w:p w14:paraId="6A45D4DC" w14:textId="5B7ADF83" w:rsidR="00E87811" w:rsidRPr="007E723C" w:rsidRDefault="00E87811" w:rsidP="00F94308">
      <w:pPr>
        <w:spacing w:after="0" w:line="360" w:lineRule="auto"/>
        <w:ind w:firstLine="720"/>
        <w:jc w:val="both"/>
        <w:rPr>
          <w:rFonts w:ascii="Georgia" w:hAnsi="Georgia" w:cs="Times New Roman"/>
          <w:b/>
          <w:bCs/>
          <w:i/>
          <w:iCs/>
          <w:sz w:val="24"/>
          <w:szCs w:val="24"/>
        </w:rPr>
      </w:pPr>
      <w:r w:rsidRPr="007E723C">
        <w:rPr>
          <w:rFonts w:ascii="Georgia" w:hAnsi="Georgia" w:cs="Times New Roman"/>
          <w:b/>
          <w:bCs/>
          <w:i/>
          <w:iCs/>
          <w:sz w:val="24"/>
          <w:szCs w:val="24"/>
        </w:rPr>
        <w:t>FTSE Russell</w:t>
      </w:r>
    </w:p>
    <w:p w14:paraId="126F8704" w14:textId="48EADE2C" w:rsidR="00853DB3" w:rsidRPr="007E723C" w:rsidRDefault="00566C9B" w:rsidP="009F143B">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Az FTSE Russell által készített ESG minősítések egy összesített pontszámból állnak, melyeket le lehet bontani az ESG három dimenziójára, illetve </w:t>
      </w:r>
      <w:r w:rsidR="00AA7FCF" w:rsidRPr="007E723C">
        <w:rPr>
          <w:rFonts w:ascii="Georgia" w:hAnsi="Georgia" w:cs="Times New Roman"/>
          <w:sz w:val="24"/>
          <w:szCs w:val="24"/>
        </w:rPr>
        <w:t xml:space="preserve">14 témára </w:t>
      </w:r>
      <w:r w:rsidRPr="007E723C">
        <w:rPr>
          <w:rFonts w:ascii="Georgia" w:hAnsi="Georgia" w:cs="Times New Roman"/>
          <w:sz w:val="24"/>
          <w:szCs w:val="24"/>
        </w:rPr>
        <w:t xml:space="preserve">és </w:t>
      </w:r>
      <w:r w:rsidR="00AA7FCF" w:rsidRPr="007E723C">
        <w:rPr>
          <w:rFonts w:ascii="Georgia" w:hAnsi="Georgia" w:cs="Times New Roman"/>
          <w:sz w:val="24"/>
          <w:szCs w:val="24"/>
        </w:rPr>
        <w:t xml:space="preserve">az azokhoz kapcsolódó </w:t>
      </w:r>
      <w:r w:rsidRPr="007E723C">
        <w:rPr>
          <w:rFonts w:ascii="Georgia" w:hAnsi="Georgia" w:cs="Times New Roman"/>
          <w:sz w:val="24"/>
          <w:szCs w:val="24"/>
        </w:rPr>
        <w:t xml:space="preserve">pontszámokra is. </w:t>
      </w:r>
      <w:r w:rsidR="00AA7FCF" w:rsidRPr="007E723C">
        <w:rPr>
          <w:rFonts w:ascii="Georgia" w:hAnsi="Georgia" w:cs="Times New Roman"/>
          <w:sz w:val="24"/>
          <w:szCs w:val="24"/>
        </w:rPr>
        <w:t>A témák és ezáltal a három pillérhez köthető pontszámok meghatározása több, mint 300 indikátor segítségével történik. Egy témát átlagosan 10-35 mutatószámmal fednek le, így egy vállalat minősítéséhez átlagosan 125 mérőszámot használnak fel.</w:t>
      </w:r>
      <w:r w:rsidR="00FD7B59" w:rsidRPr="007E723C">
        <w:rPr>
          <w:rFonts w:ascii="Georgia" w:hAnsi="Georgia" w:cs="Times New Roman"/>
          <w:sz w:val="24"/>
          <w:szCs w:val="24"/>
        </w:rPr>
        <w:t xml:space="preserve"> A környezeti dimenzióhoz öt ESG-vel kapcsolatos témát határozott meg az FTSE Russell. </w:t>
      </w:r>
      <w:r w:rsidR="00286B8C" w:rsidRPr="007E723C">
        <w:rPr>
          <w:rFonts w:ascii="Georgia" w:hAnsi="Georgia" w:cs="Times New Roman"/>
          <w:sz w:val="24"/>
          <w:szCs w:val="24"/>
        </w:rPr>
        <w:t>Ide tartozik a biodiverzitás, a klímaváltozás, a szennyezés és erőforrásfelhasználás, az ellátási lánc menedzselése, illetve a vízbiztonság is.</w:t>
      </w:r>
      <w:r w:rsidR="009F143B">
        <w:rPr>
          <w:rFonts w:ascii="Georgia" w:hAnsi="Georgia" w:cs="Times New Roman"/>
          <w:sz w:val="24"/>
          <w:szCs w:val="24"/>
        </w:rPr>
        <w:t xml:space="preserve"> </w:t>
      </w:r>
      <w:r w:rsidR="00286B8C" w:rsidRPr="007E723C">
        <w:rPr>
          <w:rFonts w:ascii="Georgia" w:hAnsi="Georgia" w:cs="Times New Roman"/>
          <w:sz w:val="24"/>
          <w:szCs w:val="24"/>
        </w:rPr>
        <w:t>A társadalmi dimenzión belül szintén öt témával foglalkoznak az FTSE Russell ESG minősítései. Itt olyan problémacsoportokat azonosítottak, mint a</w:t>
      </w:r>
      <w:r w:rsidR="00853DB3" w:rsidRPr="007E723C">
        <w:rPr>
          <w:rFonts w:ascii="Georgia" w:hAnsi="Georgia" w:cs="Times New Roman"/>
          <w:sz w:val="24"/>
          <w:szCs w:val="24"/>
        </w:rPr>
        <w:t>z egészség és biztonság, emberi jogok és közösség, munkahelyi feltételek, ügyfelek iránti felelősség, valamint az ellátási lánc menedzs</w:t>
      </w:r>
      <w:r w:rsidR="004A41B9" w:rsidRPr="007E723C">
        <w:rPr>
          <w:rFonts w:ascii="Georgia" w:hAnsi="Georgia" w:cs="Times New Roman"/>
          <w:sz w:val="24"/>
          <w:szCs w:val="24"/>
        </w:rPr>
        <w:t>elése</w:t>
      </w:r>
      <w:r w:rsidR="00853DB3" w:rsidRPr="007E723C">
        <w:rPr>
          <w:rFonts w:ascii="Georgia" w:hAnsi="Georgia" w:cs="Times New Roman"/>
          <w:sz w:val="24"/>
          <w:szCs w:val="24"/>
        </w:rPr>
        <w:t>.</w:t>
      </w:r>
      <w:r w:rsidR="009F143B">
        <w:rPr>
          <w:rFonts w:ascii="Georgia" w:hAnsi="Georgia" w:cs="Times New Roman"/>
          <w:sz w:val="24"/>
          <w:szCs w:val="24"/>
        </w:rPr>
        <w:t xml:space="preserve"> </w:t>
      </w:r>
      <w:r w:rsidR="00853DB3" w:rsidRPr="007E723C">
        <w:rPr>
          <w:rFonts w:ascii="Georgia" w:hAnsi="Georgia" w:cs="Times New Roman"/>
          <w:sz w:val="24"/>
          <w:szCs w:val="24"/>
        </w:rPr>
        <w:t xml:space="preserve">A vállalatirányítási szempont esetében négy témát különítettek el, melyek a korrupcióellenesség, a vállalatirányítás, </w:t>
      </w:r>
      <w:r w:rsidR="004A41B9" w:rsidRPr="007E723C">
        <w:rPr>
          <w:rFonts w:ascii="Georgia" w:hAnsi="Georgia" w:cs="Times New Roman"/>
          <w:sz w:val="24"/>
          <w:szCs w:val="24"/>
        </w:rPr>
        <w:t xml:space="preserve">a </w:t>
      </w:r>
      <w:r w:rsidR="00853DB3" w:rsidRPr="007E723C">
        <w:rPr>
          <w:rFonts w:ascii="Georgia" w:hAnsi="Georgia" w:cs="Times New Roman"/>
          <w:sz w:val="24"/>
          <w:szCs w:val="24"/>
        </w:rPr>
        <w:t>kockázatmenedzsment, illetve az adózás átláthatósága.</w:t>
      </w:r>
    </w:p>
    <w:p w14:paraId="6D9F1B87" w14:textId="7D70A7DC" w:rsidR="00853DB3" w:rsidRPr="007E723C" w:rsidRDefault="00F94308" w:rsidP="002B325A">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Egy adott témán belül három szinten (alacsony, közepes, magas) mérik fel azt, hogy az adott probléma mennyire jelentős az adott vállalat szempontjából, </w:t>
      </w:r>
      <w:r w:rsidRPr="007E723C">
        <w:rPr>
          <w:rFonts w:ascii="Georgia" w:hAnsi="Georgia" w:cs="Times New Roman"/>
          <w:sz w:val="24"/>
          <w:szCs w:val="24"/>
        </w:rPr>
        <w:lastRenderedPageBreak/>
        <w:t xml:space="preserve">majd százalékos formában számszerűsítik, hogy mennyiben képes a vállalat kezelni az adott témához kötődő problémát. </w:t>
      </w:r>
      <w:r w:rsidR="002B325A" w:rsidRPr="007E723C">
        <w:rPr>
          <w:rFonts w:ascii="Georgia" w:hAnsi="Georgia" w:cs="Times New Roman"/>
          <w:sz w:val="24"/>
          <w:szCs w:val="24"/>
        </w:rPr>
        <w:t>A két szempont metszeteként határozzák meg az adott témához kötődő pontszámot, amely 0-5 közötti értéket vehet fel, ahol 0 a legrosszabb, 5 a legjobb teljesítmény jelzője. Így az e</w:t>
      </w:r>
      <w:r w:rsidR="00853DB3" w:rsidRPr="007E723C">
        <w:rPr>
          <w:rFonts w:ascii="Georgia" w:hAnsi="Georgia" w:cs="Times New Roman"/>
          <w:sz w:val="24"/>
          <w:szCs w:val="24"/>
        </w:rPr>
        <w:t xml:space="preserve">gyes témákhoz kötődően előállított pontszámok súlyozott átlagát véve jutunk el az </w:t>
      </w:r>
      <w:r w:rsidR="002B325A" w:rsidRPr="007E723C">
        <w:rPr>
          <w:rFonts w:ascii="Georgia" w:hAnsi="Georgia" w:cs="Times New Roman"/>
          <w:sz w:val="24"/>
          <w:szCs w:val="24"/>
        </w:rPr>
        <w:t xml:space="preserve">ESG egyes </w:t>
      </w:r>
      <w:r w:rsidR="00853DB3" w:rsidRPr="007E723C">
        <w:rPr>
          <w:rFonts w:ascii="Georgia" w:hAnsi="Georgia" w:cs="Times New Roman"/>
          <w:sz w:val="24"/>
          <w:szCs w:val="24"/>
        </w:rPr>
        <w:t xml:space="preserve">dimenzióra vonatkozó pontszámokhoz. </w:t>
      </w:r>
      <w:r w:rsidR="002B325A" w:rsidRPr="007E723C">
        <w:rPr>
          <w:rFonts w:ascii="Georgia" w:hAnsi="Georgia" w:cs="Times New Roman"/>
          <w:sz w:val="24"/>
          <w:szCs w:val="24"/>
        </w:rPr>
        <w:t xml:space="preserve">Ebben az esetben a súlyozás oly módon történik, hogy minden egyes témához 1, 2 vagy 3 súlyt adnak attól függően, hogy korábban a probléma jelentőségét alacsonynak, közepesnek, vagy magasnak ítélték meg. </w:t>
      </w:r>
      <w:r w:rsidR="00853DB3" w:rsidRPr="007E723C">
        <w:rPr>
          <w:rFonts w:ascii="Georgia" w:hAnsi="Georgia" w:cs="Times New Roman"/>
          <w:sz w:val="24"/>
          <w:szCs w:val="24"/>
        </w:rPr>
        <w:t xml:space="preserve">Majd ezek </w:t>
      </w:r>
      <w:r w:rsidR="002B325A" w:rsidRPr="007E723C">
        <w:rPr>
          <w:rFonts w:ascii="Georgia" w:hAnsi="Georgia" w:cs="Times New Roman"/>
          <w:sz w:val="24"/>
          <w:szCs w:val="24"/>
        </w:rPr>
        <w:t xml:space="preserve">ugyanezen elv szerinti </w:t>
      </w:r>
      <w:r w:rsidR="00853DB3" w:rsidRPr="007E723C">
        <w:rPr>
          <w:rFonts w:ascii="Georgia" w:hAnsi="Georgia" w:cs="Times New Roman"/>
          <w:sz w:val="24"/>
          <w:szCs w:val="24"/>
        </w:rPr>
        <w:t xml:space="preserve">súlyozott átlaga adja a végső, összesített ESG pontszámot. Mindkét esetben 0-5 skálán mérhető értékek </w:t>
      </w:r>
      <w:r w:rsidRPr="007E723C">
        <w:rPr>
          <w:rFonts w:ascii="Georgia" w:hAnsi="Georgia" w:cs="Times New Roman"/>
          <w:sz w:val="24"/>
          <w:szCs w:val="24"/>
        </w:rPr>
        <w:t>állnak elő, melyet egy tizedes pontossággal kalkulálnak ki. Minél magasabb a kapott ESG pontszám, annál jobb az adott vállalat ESG teljesítménye.</w:t>
      </w:r>
    </w:p>
    <w:p w14:paraId="0B82B185" w14:textId="668DF84D" w:rsidR="00E87811" w:rsidRPr="007E723C" w:rsidRDefault="00E87811" w:rsidP="003B4EF1">
      <w:pPr>
        <w:spacing w:after="0" w:line="360" w:lineRule="auto"/>
        <w:ind w:firstLine="720"/>
        <w:jc w:val="both"/>
        <w:rPr>
          <w:rFonts w:ascii="Georgia" w:hAnsi="Georgia" w:cs="Times New Roman"/>
          <w:b/>
          <w:bCs/>
          <w:i/>
          <w:iCs/>
          <w:sz w:val="24"/>
          <w:szCs w:val="24"/>
        </w:rPr>
      </w:pPr>
      <w:r w:rsidRPr="007E723C">
        <w:rPr>
          <w:rFonts w:ascii="Georgia" w:hAnsi="Georgia" w:cs="Times New Roman"/>
          <w:b/>
          <w:bCs/>
          <w:i/>
          <w:iCs/>
          <w:sz w:val="24"/>
          <w:szCs w:val="24"/>
        </w:rPr>
        <w:t>ISS</w:t>
      </w:r>
    </w:p>
    <w:p w14:paraId="29BC39D4" w14:textId="6678ACF0" w:rsidR="00B64E1B" w:rsidRPr="007E723C" w:rsidRDefault="00232302" w:rsidP="009F143B">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Az ISS több, mint 800 indikátort használ arra, hogy a vállalatok fenntarthatósági teljesítményét megbízhatóan mérni tudja. Ezen mutatószámok közel 90%-a iparág specifikus mérőszám. </w:t>
      </w:r>
      <w:r w:rsidR="00322BFA" w:rsidRPr="007E723C">
        <w:rPr>
          <w:rFonts w:ascii="Georgia" w:hAnsi="Georgia" w:cs="Times New Roman"/>
          <w:sz w:val="24"/>
          <w:szCs w:val="24"/>
        </w:rPr>
        <w:t xml:space="preserve">Az indikátorokat több, mint 30 olyan ESG téma köré rendezik, amelyek </w:t>
      </w:r>
      <w:r w:rsidR="004A41B9" w:rsidRPr="007E723C">
        <w:rPr>
          <w:rFonts w:ascii="Georgia" w:hAnsi="Georgia" w:cs="Times New Roman"/>
          <w:sz w:val="24"/>
          <w:szCs w:val="24"/>
        </w:rPr>
        <w:t>valamennyi</w:t>
      </w:r>
      <w:r w:rsidR="00322BFA" w:rsidRPr="007E723C">
        <w:rPr>
          <w:rFonts w:ascii="Georgia" w:hAnsi="Georgia" w:cs="Times New Roman"/>
          <w:sz w:val="24"/>
          <w:szCs w:val="24"/>
        </w:rPr>
        <w:t xml:space="preserve"> iparág szereplő működésében jelen vannak.</w:t>
      </w:r>
      <w:r w:rsidR="009F143B">
        <w:rPr>
          <w:rFonts w:ascii="Georgia" w:hAnsi="Georgia" w:cs="Times New Roman"/>
          <w:sz w:val="24"/>
          <w:szCs w:val="24"/>
        </w:rPr>
        <w:t xml:space="preserve"> </w:t>
      </w:r>
      <w:r w:rsidR="003B4EF1" w:rsidRPr="007E723C">
        <w:rPr>
          <w:rFonts w:ascii="Georgia" w:hAnsi="Georgia" w:cs="Times New Roman"/>
          <w:sz w:val="24"/>
          <w:szCs w:val="24"/>
        </w:rPr>
        <w:t xml:space="preserve">A környezeti tényezőn belül az ISS négy fő problémakört határoz meg, melyek az energiamenedzsment, </w:t>
      </w:r>
      <w:r w:rsidR="00B64E1B" w:rsidRPr="007E723C">
        <w:rPr>
          <w:rFonts w:ascii="Georgia" w:hAnsi="Georgia" w:cs="Times New Roman"/>
          <w:sz w:val="24"/>
          <w:szCs w:val="24"/>
        </w:rPr>
        <w:t>a klímaváltozással kapcsolatos stratégia, vízkockázat és</w:t>
      </w:r>
      <w:r w:rsidR="004A41B9" w:rsidRPr="007E723C">
        <w:rPr>
          <w:rFonts w:ascii="Georgia" w:hAnsi="Georgia" w:cs="Times New Roman"/>
          <w:sz w:val="24"/>
          <w:szCs w:val="24"/>
        </w:rPr>
        <w:t xml:space="preserve"> annak</w:t>
      </w:r>
      <w:r w:rsidR="00B64E1B" w:rsidRPr="007E723C">
        <w:rPr>
          <w:rFonts w:ascii="Georgia" w:hAnsi="Georgia" w:cs="Times New Roman"/>
          <w:sz w:val="24"/>
          <w:szCs w:val="24"/>
        </w:rPr>
        <w:t xml:space="preserve"> hatása, illetve a termékek környezeti hatása.</w:t>
      </w:r>
      <w:r w:rsidR="009F143B">
        <w:rPr>
          <w:rFonts w:ascii="Georgia" w:hAnsi="Georgia" w:cs="Times New Roman"/>
          <w:sz w:val="24"/>
          <w:szCs w:val="24"/>
        </w:rPr>
        <w:t xml:space="preserve"> </w:t>
      </w:r>
      <w:r w:rsidR="00B64E1B" w:rsidRPr="007E723C">
        <w:rPr>
          <w:rFonts w:ascii="Georgia" w:hAnsi="Georgia" w:cs="Times New Roman"/>
          <w:sz w:val="24"/>
          <w:szCs w:val="24"/>
        </w:rPr>
        <w:t>A társadalmi dimenzió esetében szintén négy probléma köré csoportosítja az ISS az indikátorokat. Ide tartoznak az esélyegyenlőség, egészség és biztonság, emberi jogok, illetve a beszállítók.</w:t>
      </w:r>
      <w:r w:rsidR="009F143B">
        <w:rPr>
          <w:rFonts w:ascii="Georgia" w:hAnsi="Georgia" w:cs="Times New Roman"/>
          <w:sz w:val="24"/>
          <w:szCs w:val="24"/>
        </w:rPr>
        <w:t xml:space="preserve"> </w:t>
      </w:r>
      <w:r w:rsidR="00B64E1B" w:rsidRPr="007E723C">
        <w:rPr>
          <w:rFonts w:ascii="Georgia" w:hAnsi="Georgia" w:cs="Times New Roman"/>
          <w:sz w:val="24"/>
          <w:szCs w:val="24"/>
        </w:rPr>
        <w:t>A vállalatirányítási szempont magában foglalja a testület függetlenségének, a részvényesi demokráciának, az üzleti etikának, valamint az állami kifizetéseknek a kérdéskörét.</w:t>
      </w:r>
    </w:p>
    <w:p w14:paraId="21F94DD8" w14:textId="557FE75F" w:rsidR="00B64E1B" w:rsidRPr="007E723C" w:rsidRDefault="00B64E1B" w:rsidP="0017357E">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Mindezek mellett az ISS számos iparágspecifikus indikátort is használ</w:t>
      </w:r>
      <w:r w:rsidR="0023018B" w:rsidRPr="007E723C">
        <w:rPr>
          <w:rFonts w:ascii="Georgia" w:hAnsi="Georgia" w:cs="Times New Roman"/>
          <w:sz w:val="24"/>
          <w:szCs w:val="24"/>
        </w:rPr>
        <w:t xml:space="preserve">. Ilyen lehet például az energiaszektor esetében a megújuló energiához való hozzáférés, a létesítmények környezetbarát üzemeltetése, vagy a csővezetékekhez kapcsolódó biztonsági menedzsment is. Míg az autóiparral kapcsolatosan olyan </w:t>
      </w:r>
      <w:r w:rsidR="004A41B9" w:rsidRPr="007E723C">
        <w:rPr>
          <w:rFonts w:ascii="Georgia" w:hAnsi="Georgia" w:cs="Times New Roman"/>
          <w:sz w:val="24"/>
          <w:szCs w:val="24"/>
        </w:rPr>
        <w:t xml:space="preserve">speciális </w:t>
      </w:r>
      <w:r w:rsidR="0023018B" w:rsidRPr="007E723C">
        <w:rPr>
          <w:rFonts w:ascii="Georgia" w:hAnsi="Georgia" w:cs="Times New Roman"/>
          <w:sz w:val="24"/>
          <w:szCs w:val="24"/>
        </w:rPr>
        <w:t>mutatók jöhetnek szóba, mint a személygépkocsik CO</w:t>
      </w:r>
      <w:r w:rsidR="0023018B" w:rsidRPr="007E723C">
        <w:rPr>
          <w:rFonts w:ascii="Georgia" w:hAnsi="Georgia" w:cs="Times New Roman"/>
          <w:sz w:val="24"/>
          <w:szCs w:val="24"/>
          <w:vertAlign w:val="subscript"/>
        </w:rPr>
        <w:t>2</w:t>
      </w:r>
      <w:r w:rsidR="0023018B" w:rsidRPr="007E723C">
        <w:rPr>
          <w:rFonts w:ascii="Georgia" w:hAnsi="Georgia" w:cs="Times New Roman"/>
          <w:sz w:val="24"/>
          <w:szCs w:val="24"/>
        </w:rPr>
        <w:t xml:space="preserve"> kibocsátása, alternatív meghajtás és üzemanyagok, vagy az elektronikai rendszerek biztonsága.</w:t>
      </w:r>
    </w:p>
    <w:p w14:paraId="691094B7" w14:textId="672D23BC" w:rsidR="0023018B" w:rsidRPr="007E723C" w:rsidRDefault="00F531A6" w:rsidP="00DD6C89">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lastRenderedPageBreak/>
        <w:t xml:space="preserve">Maga az egyes indikátorok bevonása és súlyozása az ESG egyes dimenziói mentén az iparági klasszifikáció alapján jön létre. Ez az iparági besorolás pedig attól függ, hogy a környezeti, társadalmi és vállalatirányítási szempont mennyire releváns az adott szektoron belül. Vagyis minél nagyobb a szektor ESG szempontú jelentősége, annál nagyobb </w:t>
      </w:r>
      <w:r w:rsidR="000B2E69" w:rsidRPr="007E723C">
        <w:rPr>
          <w:rFonts w:ascii="Georgia" w:hAnsi="Georgia" w:cs="Times New Roman"/>
          <w:sz w:val="24"/>
          <w:szCs w:val="24"/>
        </w:rPr>
        <w:t>az ehhez kapcsolódó súlyozás értéke is.</w:t>
      </w:r>
      <w:r w:rsidRPr="007E723C">
        <w:rPr>
          <w:rFonts w:ascii="Georgia" w:hAnsi="Georgia" w:cs="Times New Roman"/>
          <w:sz w:val="24"/>
          <w:szCs w:val="24"/>
        </w:rPr>
        <w:t xml:space="preserve"> Annak érdekében, hogy valamennyi lényeges ESG probléma </w:t>
      </w:r>
      <w:r w:rsidR="0017357E" w:rsidRPr="007E723C">
        <w:rPr>
          <w:rFonts w:ascii="Georgia" w:hAnsi="Georgia" w:cs="Times New Roman"/>
          <w:sz w:val="24"/>
          <w:szCs w:val="24"/>
        </w:rPr>
        <w:t>megjelenjen a végső, összesített ESG pontszámban, az ISS a korábbiakban felsorolt</w:t>
      </w:r>
      <w:r w:rsidR="000B2E69" w:rsidRPr="007E723C">
        <w:rPr>
          <w:rFonts w:ascii="Georgia" w:hAnsi="Georgia" w:cs="Times New Roman"/>
          <w:sz w:val="24"/>
          <w:szCs w:val="24"/>
        </w:rPr>
        <w:t xml:space="preserve"> mutatószámok</w:t>
      </w:r>
      <w:r w:rsidR="0017357E" w:rsidRPr="007E723C">
        <w:rPr>
          <w:rFonts w:ascii="Georgia" w:hAnsi="Georgia" w:cs="Times New Roman"/>
          <w:sz w:val="24"/>
          <w:szCs w:val="24"/>
        </w:rPr>
        <w:t xml:space="preserve">hoz hasonló 4-5 iparágspecifikus indikátort is alkalmaz, melyek minden szektor esetében meghatározottak. Ezen a mutatók összesített súlya több, mint 50% a kumulált vállalati szintű ESG pontszámon belül. </w:t>
      </w:r>
    </w:p>
    <w:p w14:paraId="0A39429E" w14:textId="098100CF" w:rsidR="001B745F" w:rsidRPr="007E723C" w:rsidRDefault="001B745F" w:rsidP="001B745F">
      <w:pPr>
        <w:spacing w:line="360" w:lineRule="auto"/>
        <w:ind w:firstLine="720"/>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95104" behindDoc="0" locked="0" layoutInCell="1" allowOverlap="1" wp14:anchorId="23BB00E2" wp14:editId="29C91048">
            <wp:simplePos x="0" y="0"/>
            <wp:positionH relativeFrom="column">
              <wp:posOffset>1082675</wp:posOffset>
            </wp:positionH>
            <wp:positionV relativeFrom="paragraph">
              <wp:posOffset>1332865</wp:posOffset>
            </wp:positionV>
            <wp:extent cx="3352800" cy="2560320"/>
            <wp:effectExtent l="0" t="0" r="0" b="0"/>
            <wp:wrapTopAndBottom/>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52800" cy="2560320"/>
                    </a:xfrm>
                    <a:prstGeom prst="rect">
                      <a:avLst/>
                    </a:prstGeom>
                  </pic:spPr>
                </pic:pic>
              </a:graphicData>
            </a:graphic>
            <wp14:sizeRelH relativeFrom="page">
              <wp14:pctWidth>0</wp14:pctWidth>
            </wp14:sizeRelH>
            <wp14:sizeRelV relativeFrom="page">
              <wp14:pctHeight>0</wp14:pctHeight>
            </wp14:sizeRelV>
          </wp:anchor>
        </w:drawing>
      </w:r>
      <w:r w:rsidR="0017357E" w:rsidRPr="007E723C">
        <w:rPr>
          <w:rFonts w:ascii="Georgia" w:hAnsi="Georgia" w:cs="Times New Roman"/>
          <w:sz w:val="24"/>
          <w:szCs w:val="24"/>
        </w:rPr>
        <w:t xml:space="preserve">Ennek a számítási metódusnak az eredményeként a végső értékelés egy 12 szintű skálán helyezkedik el, ahol A+ jelenti a legjobb, míg D- a legrosszabb ESG teljesítményt. </w:t>
      </w:r>
      <w:r w:rsidR="00685CCB" w:rsidRPr="007E723C">
        <w:rPr>
          <w:rFonts w:ascii="Georgia" w:hAnsi="Georgia" w:cs="Times New Roman"/>
          <w:sz w:val="24"/>
          <w:szCs w:val="24"/>
        </w:rPr>
        <w:t>Ezt követően a besorolásokat átfordítják 0-100 közé eső pontszámokra, amely</w:t>
      </w:r>
      <w:r w:rsidR="004A41B9" w:rsidRPr="007E723C">
        <w:rPr>
          <w:rFonts w:ascii="Georgia" w:hAnsi="Georgia" w:cs="Times New Roman"/>
          <w:sz w:val="24"/>
          <w:szCs w:val="24"/>
        </w:rPr>
        <w:t>ek</w:t>
      </w:r>
      <w:r w:rsidR="00685CCB" w:rsidRPr="007E723C">
        <w:rPr>
          <w:rFonts w:ascii="Georgia" w:hAnsi="Georgia" w:cs="Times New Roman"/>
          <w:sz w:val="24"/>
          <w:szCs w:val="24"/>
        </w:rPr>
        <w:t xml:space="preserve"> alapján egy vállalat minősítése négyféle lehet: gyenge, közepes, jó, kiváló.</w:t>
      </w:r>
    </w:p>
    <w:p w14:paraId="4C41AC9D" w14:textId="7BD892D1" w:rsidR="00CD6083" w:rsidRPr="00476666" w:rsidRDefault="00CD6083"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Az ISS pontozási rendszere</w:t>
      </w:r>
    </w:p>
    <w:p w14:paraId="3D5EEF4A" w14:textId="375E648F" w:rsidR="00685CCB" w:rsidRPr="00476666" w:rsidRDefault="00CD6083" w:rsidP="00964907">
      <w:pPr>
        <w:pStyle w:val="Listaszerbekezds"/>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5FB93DF9" w14:textId="354A5F94" w:rsidR="0067010E" w:rsidRPr="007E723C" w:rsidRDefault="0067010E" w:rsidP="00936115">
      <w:pPr>
        <w:spacing w:after="0" w:line="360" w:lineRule="auto"/>
        <w:ind w:firstLine="720"/>
        <w:jc w:val="both"/>
        <w:rPr>
          <w:rFonts w:ascii="Georgia" w:hAnsi="Georgia" w:cs="Times New Roman"/>
          <w:b/>
          <w:bCs/>
          <w:i/>
          <w:iCs/>
          <w:sz w:val="24"/>
          <w:szCs w:val="24"/>
        </w:rPr>
      </w:pPr>
      <w:r w:rsidRPr="007E723C">
        <w:rPr>
          <w:rFonts w:ascii="Georgia" w:hAnsi="Georgia" w:cs="Times New Roman"/>
          <w:b/>
          <w:bCs/>
          <w:i/>
          <w:iCs/>
          <w:sz w:val="24"/>
          <w:szCs w:val="24"/>
        </w:rPr>
        <w:t>CDP</w:t>
      </w:r>
    </w:p>
    <w:p w14:paraId="014191BA" w14:textId="22EA2D1D" w:rsidR="006D10DE" w:rsidRPr="007E723C" w:rsidRDefault="006D10DE" w:rsidP="009A2914">
      <w:pPr>
        <w:spacing w:after="0" w:line="360" w:lineRule="auto"/>
        <w:ind w:firstLine="720"/>
        <w:jc w:val="both"/>
        <w:rPr>
          <w:rFonts w:ascii="Georgia" w:hAnsi="Georgia" w:cs="Times New Roman"/>
          <w:sz w:val="24"/>
          <w:szCs w:val="24"/>
        </w:rPr>
      </w:pPr>
      <w:r w:rsidRPr="007E723C">
        <w:rPr>
          <w:rFonts w:ascii="Georgia" w:hAnsi="Georgia" w:cs="Times New Roman"/>
          <w:sz w:val="24"/>
          <w:szCs w:val="24"/>
        </w:rPr>
        <w:t xml:space="preserve">A CDP </w:t>
      </w:r>
      <w:r w:rsidR="00471F84" w:rsidRPr="007E723C">
        <w:rPr>
          <w:rFonts w:ascii="Georgia" w:hAnsi="Georgia" w:cs="Times New Roman"/>
          <w:sz w:val="24"/>
          <w:szCs w:val="24"/>
        </w:rPr>
        <w:t xml:space="preserve">pontszámítási módszertana szorosan illeszkedik küldetéséhez is. A CDP ugyanis arra igyekszik motiválni a vállalatokat, hogy hozzák nyilvánosságra azokat az információkat, melyek megmutatják a vállalati működés környezetre és természeti erőforrásokra gyakorolt hatását. Ezzel az a céljuk, hogy ösztönözzék a vállalatokat a negatív hatások csökkentésére oly módon, hogy a CDP pontozási módszertanának segítségével mérhetővé teszik a vállalatok környezeti hatásait és </w:t>
      </w:r>
      <w:r w:rsidR="00471F84" w:rsidRPr="007E723C">
        <w:rPr>
          <w:rFonts w:ascii="Georgia" w:hAnsi="Georgia" w:cs="Times New Roman"/>
          <w:sz w:val="24"/>
          <w:szCs w:val="24"/>
        </w:rPr>
        <w:lastRenderedPageBreak/>
        <w:t>azok kezelésének hatékonyságát. A módszertan ágazatközpontú megközelítést alkalmazó kérdőívekből</w:t>
      </w:r>
      <w:r w:rsidR="002F089D" w:rsidRPr="007E723C">
        <w:rPr>
          <w:rFonts w:ascii="Georgia" w:hAnsi="Georgia" w:cs="Times New Roman"/>
          <w:sz w:val="24"/>
          <w:szCs w:val="24"/>
        </w:rPr>
        <w:t xml:space="preserve"> (klímaváltozás, erdők, vízbiztonság)</w:t>
      </w:r>
      <w:r w:rsidR="00471F84" w:rsidRPr="007E723C">
        <w:rPr>
          <w:rFonts w:ascii="Georgia" w:hAnsi="Georgia" w:cs="Times New Roman"/>
          <w:sz w:val="24"/>
          <w:szCs w:val="24"/>
        </w:rPr>
        <w:t xml:space="preserve"> és azok kiértékeléséből áll. </w:t>
      </w:r>
      <w:r w:rsidR="002F089D" w:rsidRPr="007E723C">
        <w:rPr>
          <w:rFonts w:ascii="Georgia" w:hAnsi="Georgia" w:cs="Times New Roman"/>
          <w:sz w:val="24"/>
          <w:szCs w:val="24"/>
        </w:rPr>
        <w:t>A kérdőívek mindegyike egyedi pontozási rendszerrel rendelkezik, melyeket a CDP által kiképzett akkreditált szakemberek koordinálnak és összegeznek, annak érdekében, hogy előálljon a végső minősítés. Maga a pontozás azt méri, hogy a vállalat által közzétett adatok mennyire részletesek, mennyiben van tisztában a vállalat a környezeti problémákkal és a menedzsment milyen módszereket alkalmazva tesz lépéseket a környezetvédelem irányába.</w:t>
      </w:r>
      <w:r w:rsidR="009A2914" w:rsidRPr="007E723C">
        <w:rPr>
          <w:rFonts w:ascii="Georgia" w:hAnsi="Georgia" w:cs="Times New Roman"/>
          <w:sz w:val="24"/>
          <w:szCs w:val="24"/>
        </w:rPr>
        <w:t xml:space="preserve"> </w:t>
      </w:r>
    </w:p>
    <w:p w14:paraId="19E8732C" w14:textId="200C8142" w:rsidR="001B745F" w:rsidRPr="007E723C" w:rsidRDefault="009A2914" w:rsidP="001B745F">
      <w:pPr>
        <w:spacing w:line="360" w:lineRule="auto"/>
        <w:ind w:firstLine="720"/>
        <w:jc w:val="both"/>
        <w:rPr>
          <w:rFonts w:ascii="Georgia" w:hAnsi="Georgia" w:cs="Times New Roman"/>
          <w:sz w:val="24"/>
          <w:szCs w:val="24"/>
        </w:rPr>
      </w:pPr>
      <w:r w:rsidRPr="007E723C">
        <w:rPr>
          <w:rFonts w:ascii="Georgia" w:hAnsi="Georgia" w:cs="Times New Roman"/>
          <w:sz w:val="24"/>
          <w:szCs w:val="24"/>
        </w:rPr>
        <w:t>A válaszadó vállalatokat négy egymást követő szinten értékelik, amelyek</w:t>
      </w:r>
      <w:r w:rsidR="007C0AE9" w:rsidRPr="007E723C">
        <w:rPr>
          <w:rFonts w:ascii="Georgia" w:hAnsi="Georgia" w:cs="Times New Roman"/>
          <w:sz w:val="24"/>
          <w:szCs w:val="24"/>
        </w:rPr>
        <w:t xml:space="preserve"> tulajdonképpen</w:t>
      </w:r>
      <w:r w:rsidRPr="007E723C">
        <w:rPr>
          <w:rFonts w:ascii="Georgia" w:hAnsi="Georgia" w:cs="Times New Roman"/>
          <w:sz w:val="24"/>
          <w:szCs w:val="24"/>
        </w:rPr>
        <w:t xml:space="preserve"> felfoghatók</w:t>
      </w:r>
      <w:r w:rsidR="007C0AE9" w:rsidRPr="007E723C">
        <w:rPr>
          <w:rFonts w:ascii="Georgia" w:hAnsi="Georgia" w:cs="Times New Roman"/>
          <w:sz w:val="24"/>
          <w:szCs w:val="24"/>
        </w:rPr>
        <w:t xml:space="preserve"> a környezetvédelem felé</w:t>
      </w:r>
      <w:r w:rsidRPr="007E723C">
        <w:rPr>
          <w:rFonts w:ascii="Georgia" w:hAnsi="Georgia" w:cs="Times New Roman"/>
          <w:sz w:val="24"/>
          <w:szCs w:val="24"/>
        </w:rPr>
        <w:t xml:space="preserve"> megtett lépésekként</w:t>
      </w:r>
      <w:r w:rsidR="007C0AE9" w:rsidRPr="007E723C">
        <w:rPr>
          <w:rFonts w:ascii="Georgia" w:hAnsi="Georgia" w:cs="Times New Roman"/>
          <w:sz w:val="24"/>
          <w:szCs w:val="24"/>
        </w:rPr>
        <w:t xml:space="preserve"> is</w:t>
      </w:r>
      <w:r w:rsidRPr="007E723C">
        <w:rPr>
          <w:rFonts w:ascii="Georgia" w:hAnsi="Georgia" w:cs="Times New Roman"/>
          <w:sz w:val="24"/>
          <w:szCs w:val="24"/>
        </w:rPr>
        <w:t>. A szintek a következők: nyilvánosságra hozatal,</w:t>
      </w:r>
      <w:r w:rsidR="007C0AE9" w:rsidRPr="007E723C">
        <w:rPr>
          <w:rFonts w:ascii="Georgia" w:hAnsi="Georgia" w:cs="Times New Roman"/>
          <w:sz w:val="24"/>
          <w:szCs w:val="24"/>
        </w:rPr>
        <w:t xml:space="preserve"> </w:t>
      </w:r>
      <w:r w:rsidRPr="007E723C">
        <w:rPr>
          <w:rFonts w:ascii="Georgia" w:hAnsi="Georgia" w:cs="Times New Roman"/>
          <w:sz w:val="24"/>
          <w:szCs w:val="24"/>
        </w:rPr>
        <w:t>tudatosság, menedzsment és</w:t>
      </w:r>
      <w:r w:rsidR="007C0AE9" w:rsidRPr="007E723C">
        <w:rPr>
          <w:rFonts w:ascii="Georgia" w:hAnsi="Georgia" w:cs="Times New Roman"/>
          <w:sz w:val="24"/>
          <w:szCs w:val="24"/>
        </w:rPr>
        <w:t xml:space="preserve"> </w:t>
      </w:r>
      <w:r w:rsidR="00610F31" w:rsidRPr="007E723C">
        <w:rPr>
          <w:rFonts w:ascii="Georgia" w:hAnsi="Georgia" w:cs="Times New Roman"/>
          <w:sz w:val="24"/>
          <w:szCs w:val="24"/>
        </w:rPr>
        <w:t>irányítás</w:t>
      </w:r>
      <w:r w:rsidRPr="007E723C">
        <w:rPr>
          <w:rFonts w:ascii="Georgia" w:hAnsi="Georgia" w:cs="Times New Roman"/>
          <w:sz w:val="24"/>
          <w:szCs w:val="24"/>
        </w:rPr>
        <w:t>. A pontozás végén a vállalat által elért pontszámokat az első két szinten</w:t>
      </w:r>
      <w:r w:rsidR="00245AE1" w:rsidRPr="007E723C">
        <w:rPr>
          <w:rFonts w:ascii="Georgia" w:hAnsi="Georgia" w:cs="Times New Roman"/>
          <w:sz w:val="24"/>
          <w:szCs w:val="24"/>
        </w:rPr>
        <w:t xml:space="preserve"> (nyilvánosságra hozatal, tudatosság)</w:t>
      </w:r>
      <w:r w:rsidRPr="007E723C">
        <w:rPr>
          <w:rFonts w:ascii="Georgia" w:hAnsi="Georgia" w:cs="Times New Roman"/>
          <w:sz w:val="24"/>
          <w:szCs w:val="24"/>
        </w:rPr>
        <w:t xml:space="preserve"> elosztják a maximálisan odaítélhető pontok számával. Az így kapott tört számot 100-zal szorozva, százalékká alakítva, egészre kerekítve </w:t>
      </w:r>
      <w:r w:rsidR="007C0AE9" w:rsidRPr="007E723C">
        <w:rPr>
          <w:rFonts w:ascii="Georgia" w:hAnsi="Georgia" w:cs="Times New Roman"/>
          <w:sz w:val="24"/>
          <w:szCs w:val="24"/>
        </w:rPr>
        <w:t>határozzák meg</w:t>
      </w:r>
      <w:r w:rsidRPr="007E723C">
        <w:rPr>
          <w:rFonts w:ascii="Georgia" w:hAnsi="Georgia" w:cs="Times New Roman"/>
          <w:sz w:val="24"/>
          <w:szCs w:val="24"/>
        </w:rPr>
        <w:t>.</w:t>
      </w:r>
      <w:r w:rsidR="00245AE1" w:rsidRPr="007E723C">
        <w:rPr>
          <w:rFonts w:ascii="Georgia" w:hAnsi="Georgia" w:cs="Times New Roman"/>
          <w:sz w:val="24"/>
          <w:szCs w:val="24"/>
        </w:rPr>
        <w:t xml:space="preserve"> A másik két szint (menedzsment, </w:t>
      </w:r>
      <w:r w:rsidR="00610F31" w:rsidRPr="007E723C">
        <w:rPr>
          <w:rFonts w:ascii="Georgia" w:hAnsi="Georgia" w:cs="Times New Roman"/>
          <w:sz w:val="24"/>
          <w:szCs w:val="24"/>
        </w:rPr>
        <w:t>irányítás</w:t>
      </w:r>
      <w:r w:rsidR="00245AE1" w:rsidRPr="007E723C">
        <w:rPr>
          <w:rFonts w:ascii="Georgia" w:hAnsi="Georgia" w:cs="Times New Roman"/>
          <w:sz w:val="24"/>
          <w:szCs w:val="24"/>
        </w:rPr>
        <w:t>) esetében az eltért pontszámokat kategóriánként használják fel a végső pontszám kiszámításához.</w:t>
      </w:r>
      <w:r w:rsidR="00B50A38" w:rsidRPr="007E723C">
        <w:rPr>
          <w:rFonts w:ascii="Georgia" w:hAnsi="Georgia" w:cs="Times New Roman"/>
          <w:sz w:val="24"/>
          <w:szCs w:val="24"/>
        </w:rPr>
        <w:t xml:space="preserve"> Ezekben az esetekben a súlyozás az adott kategória fontosságát tükrözi az összpontszámon belül.</w:t>
      </w:r>
      <w:r w:rsidR="00BB2254" w:rsidRPr="007E723C">
        <w:rPr>
          <w:rFonts w:ascii="Georgia" w:hAnsi="Georgia" w:cs="Times New Roman"/>
          <w:sz w:val="24"/>
          <w:szCs w:val="24"/>
        </w:rPr>
        <w:t xml:space="preserve"> Egy adott szektorban valamennyi kategóriát ugyanazzal a súlyozással vesznek számításba.</w:t>
      </w:r>
      <w:r w:rsidR="00245AE1" w:rsidRPr="007E723C">
        <w:rPr>
          <w:rFonts w:ascii="Georgia" w:hAnsi="Georgia" w:cs="Times New Roman"/>
          <w:sz w:val="24"/>
          <w:szCs w:val="24"/>
        </w:rPr>
        <w:t xml:space="preserve"> Fontos azonban kiemelni, hogy minimum pontszám és minimális számú indikátorok megléte is szükséges ahhoz, hogy a következő szinten is értékelje az adott vállalatot a CDP. Ha tehát a vállalat nem éri el a minimális pontszámot az egyik szinten, akkor a következő szinten már nem kerül pontozásra.</w:t>
      </w:r>
      <w:r w:rsidR="00BB2254" w:rsidRPr="007E723C">
        <w:rPr>
          <w:rFonts w:ascii="Georgia" w:hAnsi="Georgia" w:cs="Times New Roman"/>
          <w:sz w:val="24"/>
          <w:szCs w:val="24"/>
        </w:rPr>
        <w:t xml:space="preserve"> A pontok odaítélésének módja pedig kérdésről kérdésre változik, van kérdések, ahol halmozott pontokat adnak, máshol pedig minden adat </w:t>
      </w:r>
      <w:r w:rsidR="00C76DAA" w:rsidRPr="007E723C">
        <w:rPr>
          <w:rFonts w:ascii="Georgia" w:hAnsi="Georgia" w:cs="Times New Roman"/>
          <w:sz w:val="24"/>
          <w:szCs w:val="24"/>
        </w:rPr>
        <w:t xml:space="preserve">megadása szükséges a pont megszerzéséhez. A megválaszolatlan kérdésekre minden esetben nulla pont jár. A következő táblázat azt szemlélteti, hogy </w:t>
      </w:r>
      <w:r w:rsidR="00EB2175" w:rsidRPr="007E723C">
        <w:rPr>
          <w:rFonts w:ascii="Georgia" w:hAnsi="Georgia" w:cs="Times New Roman"/>
          <w:sz w:val="24"/>
          <w:szCs w:val="24"/>
        </w:rPr>
        <w:t>milyen eredmények kellenek ahhoz, hogy a vállalatok egy adott szintet elérjen</w:t>
      </w:r>
      <w:r w:rsidR="007C0AE9" w:rsidRPr="007E723C">
        <w:rPr>
          <w:rFonts w:ascii="Georgia" w:hAnsi="Georgia" w:cs="Times New Roman"/>
          <w:sz w:val="24"/>
          <w:szCs w:val="24"/>
        </w:rPr>
        <w:t>ek</w:t>
      </w:r>
      <w:r w:rsidR="00EB2175" w:rsidRPr="007E723C">
        <w:rPr>
          <w:rFonts w:ascii="Georgia" w:hAnsi="Georgia" w:cs="Times New Roman"/>
          <w:sz w:val="24"/>
          <w:szCs w:val="24"/>
        </w:rPr>
        <w:t xml:space="preserve"> és ezekhez milyen minősítés társul. Látható továbbá az is, hogy az egyes </w:t>
      </w:r>
      <w:r w:rsidR="00EB2175" w:rsidRPr="007E723C">
        <w:rPr>
          <w:rFonts w:ascii="Georgia" w:hAnsi="Georgia" w:cs="Times New Roman"/>
          <w:sz w:val="24"/>
          <w:szCs w:val="24"/>
        </w:rPr>
        <w:lastRenderedPageBreak/>
        <w:t xml:space="preserve">szinteken legalább 80%-os eredményt kell </w:t>
      </w:r>
      <w:r w:rsidR="007C0AE9" w:rsidRPr="007E723C">
        <w:rPr>
          <w:rFonts w:ascii="Georgia" w:hAnsi="Georgia" w:cs="Times New Roman"/>
          <w:sz w:val="24"/>
          <w:szCs w:val="24"/>
        </w:rPr>
        <w:t>el</w:t>
      </w:r>
      <w:r w:rsidR="00EB2175" w:rsidRPr="007E723C">
        <w:rPr>
          <w:rFonts w:ascii="Georgia" w:hAnsi="Georgia" w:cs="Times New Roman"/>
          <w:sz w:val="24"/>
          <w:szCs w:val="24"/>
        </w:rPr>
        <w:t xml:space="preserve">érni ahhoz, hogy a vállalat a </w:t>
      </w:r>
      <w:r w:rsidR="001B745F">
        <w:rPr>
          <w:rFonts w:ascii="Georgia" w:hAnsi="Georgia" w:cs="Times New Roman"/>
          <w:noProof/>
          <w:sz w:val="24"/>
          <w:szCs w:val="24"/>
          <w:lang w:eastAsia="hu-HU"/>
        </w:rPr>
        <w:drawing>
          <wp:anchor distT="0" distB="0" distL="114300" distR="114300" simplePos="0" relativeHeight="251696128" behindDoc="0" locked="0" layoutInCell="1" allowOverlap="1" wp14:anchorId="3C6AABD6" wp14:editId="3C8B2F52">
            <wp:simplePos x="0" y="0"/>
            <wp:positionH relativeFrom="column">
              <wp:posOffset>454025</wp:posOffset>
            </wp:positionH>
            <wp:positionV relativeFrom="paragraph">
              <wp:posOffset>585470</wp:posOffset>
            </wp:positionV>
            <wp:extent cx="4800600" cy="1828800"/>
            <wp:effectExtent l="0" t="0" r="0" b="0"/>
            <wp:wrapTopAndBottom/>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00600" cy="1828800"/>
                    </a:xfrm>
                    <a:prstGeom prst="rect">
                      <a:avLst/>
                    </a:prstGeom>
                  </pic:spPr>
                </pic:pic>
              </a:graphicData>
            </a:graphic>
            <wp14:sizeRelH relativeFrom="page">
              <wp14:pctWidth>0</wp14:pctWidth>
            </wp14:sizeRelH>
            <wp14:sizeRelV relativeFrom="page">
              <wp14:pctHeight>0</wp14:pctHeight>
            </wp14:sizeRelV>
          </wp:anchor>
        </w:drawing>
      </w:r>
      <w:r w:rsidR="00EB2175" w:rsidRPr="007E723C">
        <w:rPr>
          <w:rFonts w:ascii="Georgia" w:hAnsi="Georgia" w:cs="Times New Roman"/>
          <w:sz w:val="24"/>
          <w:szCs w:val="24"/>
        </w:rPr>
        <w:t>következő szinten is értékelésre kerüljön.</w:t>
      </w:r>
    </w:p>
    <w:p w14:paraId="3E8562CC" w14:textId="0120069A" w:rsidR="00CD6083" w:rsidRPr="00476666" w:rsidRDefault="00CD6083" w:rsidP="00FF7AC9">
      <w:pPr>
        <w:pStyle w:val="Listaszerbekezds"/>
        <w:numPr>
          <w:ilvl w:val="0"/>
          <w:numId w:val="5"/>
        </w:numPr>
        <w:spacing w:line="360" w:lineRule="auto"/>
        <w:jc w:val="center"/>
        <w:rPr>
          <w:rFonts w:ascii="Georgia" w:hAnsi="Georgia" w:cs="Times New Roman"/>
          <w:i/>
          <w:iCs/>
          <w:sz w:val="20"/>
          <w:szCs w:val="20"/>
        </w:rPr>
      </w:pPr>
      <w:r w:rsidRPr="00476666">
        <w:rPr>
          <w:rFonts w:ascii="Georgia" w:hAnsi="Georgia" w:cs="Times New Roman"/>
          <w:b/>
          <w:bCs/>
          <w:i/>
          <w:iCs/>
          <w:sz w:val="20"/>
          <w:szCs w:val="20"/>
        </w:rPr>
        <w:t>táblázat</w:t>
      </w:r>
      <w:r w:rsidRPr="00476666">
        <w:rPr>
          <w:rFonts w:ascii="Georgia" w:hAnsi="Georgia" w:cs="Times New Roman"/>
          <w:i/>
          <w:iCs/>
          <w:sz w:val="20"/>
          <w:szCs w:val="20"/>
        </w:rPr>
        <w:t>: A CDP pontozási rendszere</w:t>
      </w:r>
    </w:p>
    <w:p w14:paraId="52564634" w14:textId="2E212C2B" w:rsidR="00610F31" w:rsidRPr="00476666" w:rsidRDefault="00CD6083" w:rsidP="00964907">
      <w:pPr>
        <w:pStyle w:val="Listaszerbekezds"/>
        <w:spacing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601A7B96" w14:textId="1AC785B0" w:rsidR="00964907" w:rsidRPr="007E723C" w:rsidRDefault="00B50A38" w:rsidP="001B745F">
      <w:pPr>
        <w:spacing w:line="360" w:lineRule="auto"/>
        <w:ind w:firstLine="720"/>
        <w:jc w:val="both"/>
        <w:rPr>
          <w:rFonts w:ascii="Georgia" w:hAnsi="Georgia" w:cs="Times New Roman"/>
          <w:sz w:val="24"/>
          <w:szCs w:val="24"/>
        </w:rPr>
      </w:pPr>
      <w:r w:rsidRPr="007E723C">
        <w:rPr>
          <w:rFonts w:ascii="Georgia" w:hAnsi="Georgia" w:cs="Times New Roman"/>
          <w:sz w:val="24"/>
          <w:szCs w:val="24"/>
        </w:rPr>
        <w:t>Ahogy a fenti táblázat is mutatja, a vállalatok szintjét a megfelelő betűvel jelzett minősítésekre fordítják</w:t>
      </w:r>
      <w:r w:rsidR="00C76DAA" w:rsidRPr="007E723C">
        <w:rPr>
          <w:rFonts w:ascii="Georgia" w:hAnsi="Georgia" w:cs="Times New Roman"/>
          <w:sz w:val="24"/>
          <w:szCs w:val="24"/>
        </w:rPr>
        <w:t>, ahol „A” a legjobb, „D</w:t>
      </w:r>
      <w:r w:rsidR="00EB2175" w:rsidRPr="007E723C">
        <w:rPr>
          <w:rFonts w:ascii="Georgia" w:hAnsi="Georgia" w:cs="Times New Roman"/>
          <w:sz w:val="24"/>
          <w:szCs w:val="24"/>
        </w:rPr>
        <w:t xml:space="preserve">” </w:t>
      </w:r>
      <w:r w:rsidR="00C76DAA" w:rsidRPr="007E723C">
        <w:rPr>
          <w:rFonts w:ascii="Georgia" w:hAnsi="Georgia" w:cs="Times New Roman"/>
          <w:sz w:val="24"/>
          <w:szCs w:val="24"/>
        </w:rPr>
        <w:t>a legrosszabb teljesítmény mutatja.</w:t>
      </w:r>
      <w:r w:rsidRPr="007E723C">
        <w:rPr>
          <w:rFonts w:ascii="Georgia" w:hAnsi="Georgia" w:cs="Times New Roman"/>
          <w:sz w:val="24"/>
          <w:szCs w:val="24"/>
        </w:rPr>
        <w:t xml:space="preserve"> „F” minősítést kapnak azok a vállalatok, amelyek nem szolgáltatnak elegendő információt a CDP</w:t>
      </w:r>
      <w:r w:rsidR="00C76DAA" w:rsidRPr="007E723C">
        <w:rPr>
          <w:rFonts w:ascii="Georgia" w:hAnsi="Georgia" w:cs="Times New Roman"/>
          <w:sz w:val="24"/>
          <w:szCs w:val="24"/>
        </w:rPr>
        <w:t xml:space="preserve"> részére</w:t>
      </w:r>
      <w:r w:rsidRPr="007E723C">
        <w:rPr>
          <w:rFonts w:ascii="Georgia" w:hAnsi="Georgia" w:cs="Times New Roman"/>
          <w:sz w:val="24"/>
          <w:szCs w:val="24"/>
        </w:rPr>
        <w:t xml:space="preserve"> az értékelés elvégzéséhez.</w:t>
      </w:r>
    </w:p>
    <w:p w14:paraId="159863F6" w14:textId="5B1FD3D1" w:rsidR="0067010E" w:rsidRPr="007E723C" w:rsidRDefault="0067010E" w:rsidP="000D7A4D">
      <w:pPr>
        <w:spacing w:after="0" w:line="360" w:lineRule="auto"/>
        <w:ind w:firstLine="720"/>
        <w:jc w:val="both"/>
        <w:rPr>
          <w:rFonts w:ascii="Georgia" w:hAnsi="Georgia" w:cs="Times New Roman"/>
          <w:b/>
          <w:bCs/>
          <w:i/>
          <w:iCs/>
          <w:sz w:val="24"/>
          <w:szCs w:val="24"/>
        </w:rPr>
      </w:pPr>
      <w:r w:rsidRPr="007E723C">
        <w:rPr>
          <w:rFonts w:ascii="Georgia" w:hAnsi="Georgia" w:cs="Times New Roman"/>
          <w:b/>
          <w:bCs/>
          <w:i/>
          <w:iCs/>
          <w:sz w:val="24"/>
          <w:szCs w:val="24"/>
        </w:rPr>
        <w:t>Bloomberg</w:t>
      </w:r>
    </w:p>
    <w:p w14:paraId="1C24113C" w14:textId="44E5FC6C" w:rsidR="00A04574" w:rsidRDefault="00254265" w:rsidP="00964907">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 Bloomberg ESG-teljesítmény pontozási megközelítését egy alulról felfelé építkező, modell vezérelt módszer jellemzi, amelyet elsősorban a saját maguk által közölt, nyilvánosan elérhető információk vezérelnek, </w:t>
      </w:r>
      <w:r w:rsidR="007C0AE9" w:rsidRPr="007E723C">
        <w:rPr>
          <w:rFonts w:ascii="Georgia" w:hAnsi="Georgia" w:cs="Times New Roman"/>
          <w:sz w:val="24"/>
          <w:szCs w:val="24"/>
        </w:rPr>
        <w:t>ami</w:t>
      </w:r>
      <w:r w:rsidRPr="007E723C">
        <w:rPr>
          <w:rFonts w:ascii="Georgia" w:hAnsi="Georgia" w:cs="Times New Roman"/>
          <w:sz w:val="24"/>
          <w:szCs w:val="24"/>
        </w:rPr>
        <w:t xml:space="preserve"> egy teljesen átlátható, szabályokon alapuló pontozási keretrendszert eredményez. </w:t>
      </w:r>
      <w:r w:rsidR="0081510F" w:rsidRPr="007E723C">
        <w:rPr>
          <w:rFonts w:ascii="Georgia" w:hAnsi="Georgia" w:cs="Times New Roman"/>
          <w:sz w:val="24"/>
          <w:szCs w:val="24"/>
        </w:rPr>
        <w:t>A pontszámítás</w:t>
      </w:r>
      <w:r w:rsidRPr="007E723C">
        <w:rPr>
          <w:rFonts w:ascii="Georgia" w:hAnsi="Georgia" w:cs="Times New Roman"/>
          <w:sz w:val="24"/>
          <w:szCs w:val="24"/>
        </w:rPr>
        <w:t xml:space="preserve"> </w:t>
      </w:r>
      <w:r w:rsidR="0081510F" w:rsidRPr="007E723C">
        <w:rPr>
          <w:rFonts w:ascii="Georgia" w:hAnsi="Georgia" w:cs="Times New Roman"/>
          <w:sz w:val="24"/>
          <w:szCs w:val="24"/>
        </w:rPr>
        <w:t>módszertana</w:t>
      </w:r>
      <w:r w:rsidRPr="007E723C">
        <w:rPr>
          <w:rFonts w:ascii="Georgia" w:hAnsi="Georgia" w:cs="Times New Roman"/>
          <w:sz w:val="24"/>
          <w:szCs w:val="24"/>
        </w:rPr>
        <w:t xml:space="preserve"> ennek megfelelően</w:t>
      </w:r>
      <w:r w:rsidR="0081510F" w:rsidRPr="007E723C">
        <w:rPr>
          <w:rFonts w:ascii="Georgia" w:hAnsi="Georgia" w:cs="Times New Roman"/>
          <w:sz w:val="24"/>
          <w:szCs w:val="24"/>
        </w:rPr>
        <w:t xml:space="preserve"> három szintre épül. Az összesített pontszámot le lehet bontani a három pillér szintjére, amelyeken belül kérdéskörök és </w:t>
      </w:r>
      <w:r w:rsidR="00AC01C6" w:rsidRPr="007E723C">
        <w:rPr>
          <w:rFonts w:ascii="Georgia" w:hAnsi="Georgia" w:cs="Times New Roman"/>
          <w:sz w:val="24"/>
          <w:szCs w:val="24"/>
        </w:rPr>
        <w:t>részprobl</w:t>
      </w:r>
      <w:r w:rsidR="00DF1047" w:rsidRPr="007E723C">
        <w:rPr>
          <w:rFonts w:ascii="Georgia" w:hAnsi="Georgia" w:cs="Times New Roman"/>
          <w:sz w:val="24"/>
          <w:szCs w:val="24"/>
        </w:rPr>
        <w:t>é</w:t>
      </w:r>
      <w:r w:rsidR="00AC01C6" w:rsidRPr="007E723C">
        <w:rPr>
          <w:rFonts w:ascii="Georgia" w:hAnsi="Georgia" w:cs="Times New Roman"/>
          <w:sz w:val="24"/>
          <w:szCs w:val="24"/>
        </w:rPr>
        <w:t>mák</w:t>
      </w:r>
      <w:r w:rsidR="0081510F" w:rsidRPr="007E723C">
        <w:rPr>
          <w:rFonts w:ascii="Georgia" w:hAnsi="Georgia" w:cs="Times New Roman"/>
          <w:sz w:val="24"/>
          <w:szCs w:val="24"/>
        </w:rPr>
        <w:t xml:space="preserve"> foglalják csoportba az alkalmazott indikátorokat.</w:t>
      </w:r>
    </w:p>
    <w:p w14:paraId="790FF4D9" w14:textId="44D9CFDE" w:rsidR="00964907" w:rsidRPr="007E723C" w:rsidRDefault="003B568F" w:rsidP="009F143B">
      <w:pPr>
        <w:spacing w:line="360" w:lineRule="auto"/>
        <w:ind w:firstLine="720"/>
        <w:jc w:val="both"/>
        <w:rPr>
          <w:rFonts w:ascii="Georgia" w:hAnsi="Georgia" w:cs="Times New Roman"/>
          <w:sz w:val="24"/>
          <w:szCs w:val="24"/>
        </w:rPr>
      </w:pPr>
      <w:r w:rsidRPr="007E723C">
        <w:rPr>
          <w:rFonts w:ascii="Georgia" w:hAnsi="Georgia" w:cs="Times New Roman"/>
          <w:sz w:val="24"/>
          <w:szCs w:val="24"/>
        </w:rPr>
        <w:t xml:space="preserve">A Bloomberg aggregálási metódusa </w:t>
      </w:r>
      <w:r w:rsidR="003E17D9" w:rsidRPr="007E723C">
        <w:rPr>
          <w:rFonts w:ascii="Georgia" w:hAnsi="Georgia" w:cs="Times New Roman"/>
          <w:sz w:val="24"/>
          <w:szCs w:val="24"/>
        </w:rPr>
        <w:t>révén a különböző szinteken meghatározott pontszámokat összegzik. Ennek megfelelően a</w:t>
      </w:r>
      <w:r w:rsidR="00AC01C6" w:rsidRPr="007E723C">
        <w:rPr>
          <w:rFonts w:ascii="Georgia" w:hAnsi="Georgia" w:cs="Times New Roman"/>
          <w:sz w:val="24"/>
          <w:szCs w:val="24"/>
        </w:rPr>
        <w:t xml:space="preserve"> környezeti és társadalmi</w:t>
      </w:r>
      <w:r w:rsidRPr="007E723C">
        <w:rPr>
          <w:rFonts w:ascii="Georgia" w:hAnsi="Georgia" w:cs="Times New Roman"/>
          <w:sz w:val="24"/>
          <w:szCs w:val="24"/>
        </w:rPr>
        <w:t xml:space="preserve"> részproblémák pontszámait a rendszer a</w:t>
      </w:r>
      <w:r w:rsidR="003E17D9" w:rsidRPr="007E723C">
        <w:rPr>
          <w:rFonts w:ascii="Georgia" w:hAnsi="Georgia" w:cs="Times New Roman"/>
          <w:sz w:val="24"/>
          <w:szCs w:val="24"/>
        </w:rPr>
        <w:t>z egyes indikátorokra kapott értékek</w:t>
      </w:r>
      <w:r w:rsidRPr="007E723C">
        <w:rPr>
          <w:rFonts w:ascii="Georgia" w:hAnsi="Georgia" w:cs="Times New Roman"/>
          <w:sz w:val="24"/>
          <w:szCs w:val="24"/>
        </w:rPr>
        <w:t xml:space="preserve"> súlyátlag</w:t>
      </w:r>
      <w:r w:rsidR="003E17D9" w:rsidRPr="007E723C">
        <w:rPr>
          <w:rFonts w:ascii="Georgia" w:hAnsi="Georgia" w:cs="Times New Roman"/>
          <w:sz w:val="24"/>
          <w:szCs w:val="24"/>
        </w:rPr>
        <w:t>a</w:t>
      </w:r>
      <w:r w:rsidRPr="007E723C">
        <w:rPr>
          <w:rFonts w:ascii="Georgia" w:hAnsi="Georgia" w:cs="Times New Roman"/>
          <w:sz w:val="24"/>
          <w:szCs w:val="24"/>
        </w:rPr>
        <w:t xml:space="preserve"> alapján összesíti</w:t>
      </w:r>
      <w:r w:rsidR="003E17D9" w:rsidRPr="007E723C">
        <w:rPr>
          <w:rFonts w:ascii="Georgia" w:hAnsi="Georgia" w:cs="Times New Roman"/>
          <w:sz w:val="24"/>
          <w:szCs w:val="24"/>
        </w:rPr>
        <w:t xml:space="preserve">, attól függően, hogy milyen az illeszkedési attribútum. Ez az illeszkedési attribútum lényegében egy szint, melynek segítségével meghatározzák a súlyokat. Ha tehát az adott részprobléma relevanciája magas, akkor 9-es, ha közepes, akkor 4-es, ha alacsony akkor 1-es súlyt </w:t>
      </w:r>
      <w:r w:rsidR="00AC01C6" w:rsidRPr="007E723C">
        <w:rPr>
          <w:rFonts w:ascii="Georgia" w:hAnsi="Georgia" w:cs="Times New Roman"/>
          <w:sz w:val="24"/>
          <w:szCs w:val="24"/>
        </w:rPr>
        <w:t>rendelnek</w:t>
      </w:r>
      <w:r w:rsidR="00D32333" w:rsidRPr="007E723C">
        <w:rPr>
          <w:rFonts w:ascii="Georgia" w:hAnsi="Georgia" w:cs="Times New Roman"/>
          <w:sz w:val="24"/>
          <w:szCs w:val="24"/>
        </w:rPr>
        <w:t xml:space="preserve"> hozzá.</w:t>
      </w:r>
      <w:r w:rsidR="00AC01C6" w:rsidRPr="007E723C">
        <w:rPr>
          <w:rFonts w:ascii="Georgia" w:hAnsi="Georgia" w:cs="Times New Roman"/>
          <w:sz w:val="24"/>
          <w:szCs w:val="24"/>
        </w:rPr>
        <w:t xml:space="preserve"> A vállalatirányításhoz köthető részproblémák </w:t>
      </w:r>
      <w:r w:rsidR="00D01EA7" w:rsidRPr="007E723C">
        <w:rPr>
          <w:rFonts w:ascii="Georgia" w:hAnsi="Georgia" w:cs="Times New Roman"/>
          <w:sz w:val="24"/>
          <w:szCs w:val="24"/>
        </w:rPr>
        <w:t>pontszámai az egyes indikátorok súlyozott átlaga alapján adódik</w:t>
      </w:r>
      <w:r w:rsidR="00C57A3C" w:rsidRPr="007E723C">
        <w:rPr>
          <w:rFonts w:ascii="Georgia" w:hAnsi="Georgia" w:cs="Times New Roman"/>
          <w:sz w:val="24"/>
          <w:szCs w:val="24"/>
        </w:rPr>
        <w:t xml:space="preserve">. A részproblémák pontszámait ezt követően a főbb kérdéskörök mentén összegzik, amely során </w:t>
      </w:r>
      <w:r w:rsidR="00C57A3C" w:rsidRPr="007E723C">
        <w:rPr>
          <w:rFonts w:ascii="Georgia" w:hAnsi="Georgia" w:cs="Times New Roman"/>
          <w:sz w:val="24"/>
          <w:szCs w:val="24"/>
        </w:rPr>
        <w:lastRenderedPageBreak/>
        <w:t xml:space="preserve">aszerint priorizálnak, hogy az adott probléma mennyire lényeges az adott szektor, vagy vállalat esetében. Az egyes ESG dimneziók szerinti pontszám végül súlyozott átlag módszerrel kerül kiszámításra, ahol szintén mérlegelik azt is, hogy mekkora az adott probléma relatív fontossága az egyes dimenziókon belül. Vannak azonban olyan </w:t>
      </w:r>
      <w:r w:rsidR="0027684A" w:rsidRPr="007E723C">
        <w:rPr>
          <w:rFonts w:ascii="Georgia" w:hAnsi="Georgia" w:cs="Times New Roman"/>
          <w:sz w:val="24"/>
          <w:szCs w:val="24"/>
        </w:rPr>
        <w:t>pontszámok, melyek csupán 0 vagy 1 értéket vehetnek fel. Ezért a Bloomberg ezeknek a súlyozását 80%-kal csökkenti a végső aggregálás során, abból a megfontolásból, hogy a kvantitatív adatok jobban minősülnek a pontozás szempontjából. Az értékelés eredményeként az aggregált ESG pontszám 0</w:t>
      </w:r>
      <w:r w:rsidR="00FB5F50" w:rsidRPr="007E723C">
        <w:rPr>
          <w:rFonts w:ascii="Georgia" w:hAnsi="Georgia" w:cs="Times New Roman"/>
          <w:sz w:val="24"/>
          <w:szCs w:val="24"/>
        </w:rPr>
        <w:t xml:space="preserve"> és </w:t>
      </w:r>
      <w:r w:rsidR="0027684A" w:rsidRPr="007E723C">
        <w:rPr>
          <w:rFonts w:ascii="Georgia" w:hAnsi="Georgia" w:cs="Times New Roman"/>
          <w:sz w:val="24"/>
          <w:szCs w:val="24"/>
        </w:rPr>
        <w:t>1</w:t>
      </w:r>
      <w:r w:rsidR="00FB5F50" w:rsidRPr="007E723C">
        <w:rPr>
          <w:rFonts w:ascii="Georgia" w:hAnsi="Georgia" w:cs="Times New Roman"/>
          <w:sz w:val="24"/>
          <w:szCs w:val="24"/>
        </w:rPr>
        <w:t>00</w:t>
      </w:r>
      <w:r w:rsidR="0027684A" w:rsidRPr="007E723C">
        <w:rPr>
          <w:rFonts w:ascii="Georgia" w:hAnsi="Georgia" w:cs="Times New Roman"/>
          <w:sz w:val="24"/>
          <w:szCs w:val="24"/>
        </w:rPr>
        <w:t xml:space="preserve"> </w:t>
      </w:r>
      <w:r w:rsidR="00FB5F50" w:rsidRPr="007E723C">
        <w:rPr>
          <w:rFonts w:ascii="Georgia" w:hAnsi="Georgia" w:cs="Times New Roman"/>
          <w:sz w:val="24"/>
          <w:szCs w:val="24"/>
        </w:rPr>
        <w:t xml:space="preserve">között </w:t>
      </w:r>
      <w:r w:rsidR="0027684A" w:rsidRPr="007E723C">
        <w:rPr>
          <w:rFonts w:ascii="Georgia" w:hAnsi="Georgia" w:cs="Times New Roman"/>
          <w:sz w:val="24"/>
          <w:szCs w:val="24"/>
        </w:rPr>
        <w:t>helyezkedik el.</w:t>
      </w:r>
    </w:p>
    <w:p w14:paraId="13E5F982" w14:textId="556C4470" w:rsidR="0067010E" w:rsidRPr="00480C87" w:rsidRDefault="00C029B1" w:rsidP="00CC2B89">
      <w:pPr>
        <w:pStyle w:val="Cmsor3"/>
        <w:numPr>
          <w:ilvl w:val="2"/>
          <w:numId w:val="1"/>
        </w:numPr>
        <w:spacing w:line="360" w:lineRule="auto"/>
        <w:rPr>
          <w:rFonts w:ascii="Georgia" w:hAnsi="Georgia" w:cs="Times New Roman"/>
          <w:b/>
          <w:bCs/>
          <w:color w:val="auto"/>
        </w:rPr>
      </w:pPr>
      <w:bookmarkStart w:id="49" w:name="_Toc119421189"/>
      <w:r w:rsidRPr="00480C87">
        <w:rPr>
          <w:rFonts w:ascii="Georgia" w:hAnsi="Georgia" w:cs="Times New Roman"/>
          <w:b/>
          <w:bCs/>
          <w:color w:val="auto"/>
        </w:rPr>
        <w:t>Az ESG pontszámok</w:t>
      </w:r>
      <w:r w:rsidR="00DE09A5" w:rsidRPr="00480C87">
        <w:rPr>
          <w:rFonts w:ascii="Georgia" w:hAnsi="Georgia" w:cs="Times New Roman"/>
          <w:b/>
          <w:bCs/>
          <w:color w:val="auto"/>
        </w:rPr>
        <w:t xml:space="preserve"> közötti</w:t>
      </w:r>
      <w:r w:rsidRPr="00480C87">
        <w:rPr>
          <w:rFonts w:ascii="Georgia" w:hAnsi="Georgia" w:cs="Times New Roman"/>
          <w:b/>
          <w:bCs/>
          <w:color w:val="auto"/>
        </w:rPr>
        <w:t xml:space="preserve"> kapcsolat vizsgálata</w:t>
      </w:r>
      <w:bookmarkEnd w:id="49"/>
    </w:p>
    <w:p w14:paraId="358A727A" w14:textId="256A9AF9" w:rsidR="003649CD" w:rsidRPr="007E723C" w:rsidRDefault="003649CD" w:rsidP="003649CD">
      <w:pPr>
        <w:spacing w:line="360" w:lineRule="auto"/>
        <w:ind w:firstLine="720"/>
        <w:jc w:val="both"/>
        <w:rPr>
          <w:rFonts w:ascii="Georgia" w:hAnsi="Georgia" w:cs="Times New Roman"/>
          <w:sz w:val="24"/>
          <w:szCs w:val="24"/>
        </w:rPr>
      </w:pPr>
      <w:r w:rsidRPr="007E723C">
        <w:rPr>
          <w:rFonts w:ascii="Georgia" w:hAnsi="Georgia" w:cs="Times New Roman"/>
          <w:sz w:val="24"/>
          <w:szCs w:val="24"/>
        </w:rPr>
        <w:t>Kutatás</w:t>
      </w:r>
      <w:r w:rsidR="00DB529F">
        <w:rPr>
          <w:rFonts w:ascii="Georgia" w:hAnsi="Georgia" w:cs="Times New Roman"/>
          <w:sz w:val="24"/>
          <w:szCs w:val="24"/>
        </w:rPr>
        <w:t>unk</w:t>
      </w:r>
      <w:r w:rsidRPr="007E723C">
        <w:rPr>
          <w:rFonts w:ascii="Georgia" w:hAnsi="Georgia" w:cs="Times New Roman"/>
          <w:sz w:val="24"/>
          <w:szCs w:val="24"/>
        </w:rPr>
        <w:t xml:space="preserve"> második részében az ESG minősítést végző társaságok által kikalkulált pontszámok kvantitatív módszerrel történő </w:t>
      </w:r>
      <w:r w:rsidR="00981B7D" w:rsidRPr="007E723C">
        <w:rPr>
          <w:rFonts w:ascii="Georgia" w:hAnsi="Georgia" w:cs="Times New Roman"/>
          <w:sz w:val="24"/>
          <w:szCs w:val="24"/>
        </w:rPr>
        <w:t>elemzésére</w:t>
      </w:r>
      <w:r w:rsidRPr="007E723C">
        <w:rPr>
          <w:rFonts w:ascii="Georgia" w:hAnsi="Georgia" w:cs="Times New Roman"/>
          <w:sz w:val="24"/>
          <w:szCs w:val="24"/>
        </w:rPr>
        <w:t xml:space="preserve"> került sor</w:t>
      </w:r>
      <w:r w:rsidR="00DB529F">
        <w:rPr>
          <w:rFonts w:ascii="Georgia" w:hAnsi="Georgia" w:cs="Times New Roman"/>
          <w:sz w:val="24"/>
          <w:szCs w:val="24"/>
        </w:rPr>
        <w:t>,</w:t>
      </w:r>
      <w:r w:rsidR="00981B7D" w:rsidRPr="007E723C">
        <w:rPr>
          <w:rFonts w:ascii="Georgia" w:hAnsi="Georgia" w:cs="Times New Roman"/>
          <w:sz w:val="24"/>
          <w:szCs w:val="24"/>
        </w:rPr>
        <w:t xml:space="preserve"> annak érdekében, hogy a minősítők eredményeinek megbízhatóságát számszerű adatokon keresztül is megvizsgálj</w:t>
      </w:r>
      <w:r w:rsidR="00DB529F">
        <w:rPr>
          <w:rFonts w:ascii="Georgia" w:hAnsi="Georgia" w:cs="Times New Roman"/>
          <w:sz w:val="24"/>
          <w:szCs w:val="24"/>
        </w:rPr>
        <w:t>uk</w:t>
      </w:r>
      <w:r w:rsidR="00981B7D" w:rsidRPr="007E723C">
        <w:rPr>
          <w:rFonts w:ascii="Georgia" w:hAnsi="Georgia" w:cs="Times New Roman"/>
          <w:sz w:val="24"/>
          <w:szCs w:val="24"/>
        </w:rPr>
        <w:t xml:space="preserve">. Ennek során </w:t>
      </w:r>
      <w:r w:rsidR="007F59C2" w:rsidRPr="007E723C">
        <w:rPr>
          <w:rFonts w:ascii="Georgia" w:hAnsi="Georgia" w:cs="Times New Roman"/>
          <w:sz w:val="24"/>
          <w:szCs w:val="24"/>
        </w:rPr>
        <w:t>három fő ESG minősítést végző társaság, a Refinitiv, a Bloomberg és a S&amp;P adatait ve</w:t>
      </w:r>
      <w:r w:rsidR="00DB529F">
        <w:rPr>
          <w:rFonts w:ascii="Georgia" w:hAnsi="Georgia" w:cs="Times New Roman"/>
          <w:sz w:val="24"/>
          <w:szCs w:val="24"/>
        </w:rPr>
        <w:t>sszük</w:t>
      </w:r>
      <w:r w:rsidR="007F59C2" w:rsidRPr="007E723C">
        <w:rPr>
          <w:rFonts w:ascii="Georgia" w:hAnsi="Georgia" w:cs="Times New Roman"/>
          <w:sz w:val="24"/>
          <w:szCs w:val="24"/>
        </w:rPr>
        <w:t xml:space="preserve"> alapul</w:t>
      </w:r>
      <w:r w:rsidR="00B074AF">
        <w:rPr>
          <w:rFonts w:ascii="Georgia" w:hAnsi="Georgia" w:cs="Times New Roman"/>
          <w:sz w:val="24"/>
          <w:szCs w:val="24"/>
        </w:rPr>
        <w:t>, majd a vizsgálatot kiterjesztettem további két minősítőre is (MSCI, Sustainlytics)</w:t>
      </w:r>
      <w:r w:rsidR="007F59C2" w:rsidRPr="007E723C">
        <w:rPr>
          <w:rFonts w:ascii="Georgia" w:hAnsi="Georgia" w:cs="Times New Roman"/>
          <w:sz w:val="24"/>
          <w:szCs w:val="24"/>
        </w:rPr>
        <w:t xml:space="preserve">. A következőkben röviden </w:t>
      </w:r>
      <w:r w:rsidR="00BC480D">
        <w:rPr>
          <w:rFonts w:ascii="Georgia" w:hAnsi="Georgia" w:cs="Times New Roman"/>
          <w:sz w:val="24"/>
          <w:szCs w:val="24"/>
        </w:rPr>
        <w:t>ismertet</w:t>
      </w:r>
      <w:r w:rsidR="00DB529F">
        <w:rPr>
          <w:rFonts w:ascii="Georgia" w:hAnsi="Georgia" w:cs="Times New Roman"/>
          <w:sz w:val="24"/>
          <w:szCs w:val="24"/>
        </w:rPr>
        <w:t>jük</w:t>
      </w:r>
      <w:r w:rsidR="007F59C2" w:rsidRPr="007E723C">
        <w:rPr>
          <w:rFonts w:ascii="Georgia" w:hAnsi="Georgia" w:cs="Times New Roman"/>
          <w:sz w:val="24"/>
          <w:szCs w:val="24"/>
        </w:rPr>
        <w:t xml:space="preserve"> az elemzéshez szükséges mintaválasztás</w:t>
      </w:r>
      <w:r w:rsidR="00BC480D">
        <w:rPr>
          <w:rFonts w:ascii="Georgia" w:hAnsi="Georgia" w:cs="Times New Roman"/>
          <w:sz w:val="24"/>
          <w:szCs w:val="24"/>
        </w:rPr>
        <w:t xml:space="preserve"> főbb lépéseit</w:t>
      </w:r>
      <w:r w:rsidR="007F59C2" w:rsidRPr="007E723C">
        <w:rPr>
          <w:rFonts w:ascii="Georgia" w:hAnsi="Georgia" w:cs="Times New Roman"/>
          <w:sz w:val="24"/>
          <w:szCs w:val="24"/>
        </w:rPr>
        <w:t xml:space="preserve"> és</w:t>
      </w:r>
      <w:r w:rsidR="00BC480D">
        <w:rPr>
          <w:rFonts w:ascii="Georgia" w:hAnsi="Georgia" w:cs="Times New Roman"/>
          <w:sz w:val="24"/>
          <w:szCs w:val="24"/>
        </w:rPr>
        <w:t xml:space="preserve"> bemutatom</w:t>
      </w:r>
      <w:r w:rsidR="007F59C2" w:rsidRPr="007E723C">
        <w:rPr>
          <w:rFonts w:ascii="Georgia" w:hAnsi="Georgia" w:cs="Times New Roman"/>
          <w:sz w:val="24"/>
          <w:szCs w:val="24"/>
        </w:rPr>
        <w:t xml:space="preserve"> az így kapott mintát, majd kitérek az adatok elemzésének módjára is.</w:t>
      </w:r>
    </w:p>
    <w:p w14:paraId="449395C9" w14:textId="742B77F4" w:rsidR="00C42EEA" w:rsidRPr="00480C87" w:rsidRDefault="00672B57" w:rsidP="00CC2B89">
      <w:pPr>
        <w:pStyle w:val="Cmsor3"/>
        <w:numPr>
          <w:ilvl w:val="3"/>
          <w:numId w:val="1"/>
        </w:numPr>
        <w:spacing w:line="360" w:lineRule="auto"/>
        <w:rPr>
          <w:rFonts w:ascii="Georgia" w:hAnsi="Georgia" w:cs="Times New Roman"/>
          <w:b/>
          <w:bCs/>
          <w:color w:val="auto"/>
        </w:rPr>
      </w:pPr>
      <w:bookmarkStart w:id="50" w:name="_Toc119421190"/>
      <w:r w:rsidRPr="00480C87">
        <w:rPr>
          <w:rFonts w:ascii="Georgia" w:hAnsi="Georgia" w:cs="Times New Roman"/>
          <w:b/>
          <w:bCs/>
          <w:color w:val="auto"/>
        </w:rPr>
        <w:t>A</w:t>
      </w:r>
      <w:r w:rsidR="00F60E42" w:rsidRPr="00480C87">
        <w:rPr>
          <w:rFonts w:ascii="Georgia" w:hAnsi="Georgia" w:cs="Times New Roman"/>
          <w:b/>
          <w:bCs/>
          <w:color w:val="auto"/>
        </w:rPr>
        <w:t>z adatgyűjtés és</w:t>
      </w:r>
      <w:r w:rsidRPr="00480C87">
        <w:rPr>
          <w:rFonts w:ascii="Georgia" w:hAnsi="Georgia" w:cs="Times New Roman"/>
          <w:b/>
          <w:bCs/>
          <w:color w:val="auto"/>
        </w:rPr>
        <w:t xml:space="preserve"> </w:t>
      </w:r>
      <w:r w:rsidR="00F60E42" w:rsidRPr="00480C87">
        <w:rPr>
          <w:rFonts w:ascii="Georgia" w:hAnsi="Georgia" w:cs="Times New Roman"/>
          <w:b/>
          <w:bCs/>
          <w:color w:val="auto"/>
        </w:rPr>
        <w:t xml:space="preserve">a kiválasztott </w:t>
      </w:r>
      <w:r w:rsidRPr="00480C87">
        <w:rPr>
          <w:rFonts w:ascii="Georgia" w:hAnsi="Georgia" w:cs="Times New Roman"/>
          <w:b/>
          <w:bCs/>
          <w:color w:val="auto"/>
        </w:rPr>
        <w:t>minta bemutatása</w:t>
      </w:r>
      <w:bookmarkEnd w:id="50"/>
    </w:p>
    <w:p w14:paraId="6484E4A5" w14:textId="146861E5" w:rsidR="00F60E42" w:rsidRPr="007E723C" w:rsidRDefault="004A6CEB" w:rsidP="00F60E42">
      <w:pPr>
        <w:spacing w:line="360" w:lineRule="auto"/>
        <w:ind w:firstLine="709"/>
        <w:jc w:val="both"/>
        <w:rPr>
          <w:rFonts w:ascii="Georgia" w:hAnsi="Georgia" w:cs="Times New Roman"/>
          <w:sz w:val="24"/>
          <w:szCs w:val="24"/>
        </w:rPr>
      </w:pPr>
      <w:r w:rsidRPr="007E723C">
        <w:rPr>
          <w:rFonts w:ascii="Georgia" w:hAnsi="Georgia" w:cs="Times New Roman"/>
          <w:sz w:val="24"/>
          <w:szCs w:val="24"/>
        </w:rPr>
        <w:t>Kutatás</w:t>
      </w:r>
      <w:r w:rsidR="00DB529F">
        <w:rPr>
          <w:rFonts w:ascii="Georgia" w:hAnsi="Georgia" w:cs="Times New Roman"/>
          <w:sz w:val="24"/>
          <w:szCs w:val="24"/>
        </w:rPr>
        <w:t>unk</w:t>
      </w:r>
      <w:r w:rsidRPr="007E723C">
        <w:rPr>
          <w:rFonts w:ascii="Georgia" w:hAnsi="Georgia" w:cs="Times New Roman"/>
          <w:sz w:val="24"/>
          <w:szCs w:val="24"/>
        </w:rPr>
        <w:t xml:space="preserve"> fókuszában az állt, hogy feltárj</w:t>
      </w:r>
      <w:r w:rsidR="00DB529F">
        <w:rPr>
          <w:rFonts w:ascii="Georgia" w:hAnsi="Georgia" w:cs="Times New Roman"/>
          <w:sz w:val="24"/>
          <w:szCs w:val="24"/>
        </w:rPr>
        <w:t>uk</w:t>
      </w:r>
      <w:r w:rsidRPr="007E723C">
        <w:rPr>
          <w:rFonts w:ascii="Georgia" w:hAnsi="Georgia" w:cs="Times New Roman"/>
          <w:sz w:val="24"/>
          <w:szCs w:val="24"/>
        </w:rPr>
        <w:t xml:space="preserve"> azt, hogy a közzétett ESG pontszámok segítségével az egyes minősítést végző társaságok mennyiben mérik hasonlóan a vállalatok fenntarthatósági teljesítményét, vagyis mennyire jutnak azonos eredményre a minősítést során. Ez azért is fontos, mert egy potenciális befektető számára komoly nehézségeket okozhat az, ha a nyilvánosan elérhető ESG pontszámok egy adott vállalat esetében eltérő eredményt mutatnak. </w:t>
      </w:r>
    </w:p>
    <w:p w14:paraId="7409CAFF" w14:textId="40458983" w:rsidR="007F59C2" w:rsidRPr="007E723C" w:rsidRDefault="004A6CEB" w:rsidP="0022245B">
      <w:pPr>
        <w:spacing w:line="360" w:lineRule="auto"/>
        <w:ind w:firstLine="709"/>
        <w:jc w:val="both"/>
        <w:rPr>
          <w:rFonts w:ascii="Georgia" w:hAnsi="Georgia" w:cs="Times New Roman"/>
          <w:sz w:val="24"/>
          <w:szCs w:val="24"/>
        </w:rPr>
      </w:pPr>
      <w:r w:rsidRPr="007E723C">
        <w:rPr>
          <w:rFonts w:ascii="Georgia" w:hAnsi="Georgia" w:cs="Times New Roman"/>
          <w:sz w:val="24"/>
          <w:szCs w:val="24"/>
        </w:rPr>
        <w:t>Annak érdekében, hogy felmérjem az ESG minősítők pontszámainak megbízhatóságát, első lépésként megvizsgáltam azt, hogy egyáltalán milyen adatokhoz lehet ingyenesen</w:t>
      </w:r>
      <w:r w:rsidR="00B074AF">
        <w:rPr>
          <w:rFonts w:ascii="Georgia" w:hAnsi="Georgia" w:cs="Times New Roman"/>
          <w:sz w:val="24"/>
          <w:szCs w:val="24"/>
        </w:rPr>
        <w:t>,</w:t>
      </w:r>
      <w:r w:rsidRPr="007E723C">
        <w:rPr>
          <w:rFonts w:ascii="Georgia" w:hAnsi="Georgia" w:cs="Times New Roman"/>
          <w:sz w:val="24"/>
          <w:szCs w:val="24"/>
        </w:rPr>
        <w:t xml:space="preserve"> az internet segítségével hozzáférni. </w:t>
      </w:r>
      <w:r w:rsidR="00F60E42" w:rsidRPr="007E723C">
        <w:rPr>
          <w:rFonts w:ascii="Georgia" w:hAnsi="Georgia" w:cs="Times New Roman"/>
          <w:sz w:val="24"/>
          <w:szCs w:val="24"/>
        </w:rPr>
        <w:t xml:space="preserve">A kutatás során arra jutottam, hogy a korábban bemutatott ESG minősítést végző társaságok közül csupán a S&amp;P az, melynek értékelési aggregáltan és az egyes dimenziók szerinti lebontásban is elérhetőek a minősítő társaság nyilvános weboldalán keresztül. Fontos azonban kiemelni, hogy a S&amp;P adatbázisában is számos olyan </w:t>
      </w:r>
      <w:r w:rsidR="00F60E42" w:rsidRPr="007E723C">
        <w:rPr>
          <w:rFonts w:ascii="Georgia" w:hAnsi="Georgia" w:cs="Times New Roman"/>
          <w:sz w:val="24"/>
          <w:szCs w:val="24"/>
        </w:rPr>
        <w:lastRenderedPageBreak/>
        <w:t xml:space="preserve">társaság szerepel, melyre vonatkozóan korlátozták az adatokhoz való hozzáférést. Az MSCI, illetve a Sustainalytics esetében szintén lehetőség van az értékelt vállalatok ESG pontszámainak elérésére, </w:t>
      </w:r>
      <w:r w:rsidR="00415C01" w:rsidRPr="007E723C">
        <w:rPr>
          <w:rFonts w:ascii="Georgia" w:hAnsi="Georgia" w:cs="Times New Roman"/>
          <w:sz w:val="24"/>
          <w:szCs w:val="24"/>
        </w:rPr>
        <w:t xml:space="preserve">azzal az eltéréssel, hogy ezeknél a minősítőknél csupán az aggregált ESG pontszámok kerültek közzétételre a weboldalon. A Refinitiv adatbázisa az előzőekhez képest jóval bővebb. Itt </w:t>
      </w:r>
      <w:r w:rsidR="0022245B" w:rsidRPr="007E723C">
        <w:rPr>
          <w:rFonts w:ascii="Georgia" w:hAnsi="Georgia" w:cs="Times New Roman"/>
          <w:sz w:val="24"/>
          <w:szCs w:val="24"/>
        </w:rPr>
        <w:t>ugyanis</w:t>
      </w:r>
      <w:r w:rsidR="00415C01" w:rsidRPr="007E723C">
        <w:rPr>
          <w:rFonts w:ascii="Georgia" w:hAnsi="Georgia" w:cs="Times New Roman"/>
          <w:sz w:val="24"/>
          <w:szCs w:val="24"/>
        </w:rPr>
        <w:t xml:space="preserve"> </w:t>
      </w:r>
      <w:r w:rsidR="00B074AF">
        <w:rPr>
          <w:rFonts w:ascii="Georgia" w:hAnsi="Georgia" w:cs="Times New Roman"/>
          <w:sz w:val="24"/>
          <w:szCs w:val="24"/>
        </w:rPr>
        <w:t xml:space="preserve">az Eikon segítségével </w:t>
      </w:r>
      <w:r w:rsidR="00415C01" w:rsidRPr="007E723C">
        <w:rPr>
          <w:rFonts w:ascii="Georgia" w:hAnsi="Georgia" w:cs="Times New Roman"/>
          <w:sz w:val="24"/>
          <w:szCs w:val="24"/>
        </w:rPr>
        <w:t xml:space="preserve">nem csak az aggregált és a dimenziónkénti pontszámok érhetőek el, hanem lehetőség van a főbb háttérindikátorok megjelenítésére is. </w:t>
      </w:r>
      <w:r w:rsidR="00B074AF">
        <w:rPr>
          <w:rFonts w:ascii="Georgia" w:hAnsi="Georgia" w:cs="Times New Roman"/>
          <w:sz w:val="24"/>
          <w:szCs w:val="24"/>
        </w:rPr>
        <w:t>Ezt a szolgáltatást előfizetést követően a weboldalon keresztül lehet elérni.</w:t>
      </w:r>
    </w:p>
    <w:p w14:paraId="3C994822" w14:textId="18BD5D38" w:rsidR="00B32AA1" w:rsidRPr="007E723C" w:rsidRDefault="00E47FB7" w:rsidP="00B32AA1">
      <w:pPr>
        <w:spacing w:line="360" w:lineRule="auto"/>
        <w:ind w:firstLine="709"/>
        <w:jc w:val="both"/>
        <w:rPr>
          <w:rFonts w:ascii="Georgia" w:hAnsi="Georgia" w:cs="Times New Roman"/>
          <w:sz w:val="24"/>
          <w:szCs w:val="24"/>
        </w:rPr>
      </w:pPr>
      <w:r w:rsidRPr="007E723C">
        <w:rPr>
          <w:rFonts w:ascii="Georgia" w:hAnsi="Georgia" w:cs="Times New Roman"/>
          <w:sz w:val="24"/>
          <w:szCs w:val="24"/>
        </w:rPr>
        <w:t>Kutatás</w:t>
      </w:r>
      <w:r w:rsidR="00DB529F">
        <w:rPr>
          <w:rFonts w:ascii="Georgia" w:hAnsi="Georgia" w:cs="Times New Roman"/>
          <w:sz w:val="24"/>
          <w:szCs w:val="24"/>
        </w:rPr>
        <w:t>unk</w:t>
      </w:r>
      <w:r w:rsidRPr="007E723C">
        <w:rPr>
          <w:rFonts w:ascii="Georgia" w:hAnsi="Georgia" w:cs="Times New Roman"/>
          <w:sz w:val="24"/>
          <w:szCs w:val="24"/>
        </w:rPr>
        <w:t xml:space="preserve"> során </w:t>
      </w:r>
      <w:r w:rsidR="00B074AF">
        <w:rPr>
          <w:rFonts w:ascii="Georgia" w:hAnsi="Georgia" w:cs="Times New Roman"/>
          <w:sz w:val="24"/>
          <w:szCs w:val="24"/>
        </w:rPr>
        <w:t xml:space="preserve">alapvetően </w:t>
      </w:r>
      <w:r w:rsidRPr="007E723C">
        <w:rPr>
          <w:rFonts w:ascii="Georgia" w:hAnsi="Georgia" w:cs="Times New Roman"/>
          <w:sz w:val="24"/>
          <w:szCs w:val="24"/>
        </w:rPr>
        <w:t>a Refinitiv adatbázisára támaszkodt</w:t>
      </w:r>
      <w:r w:rsidR="00DB529F">
        <w:rPr>
          <w:rFonts w:ascii="Georgia" w:hAnsi="Georgia" w:cs="Times New Roman"/>
          <w:sz w:val="24"/>
          <w:szCs w:val="24"/>
        </w:rPr>
        <w:t>unk</w:t>
      </w:r>
      <w:r w:rsidRPr="007E723C">
        <w:rPr>
          <w:rFonts w:ascii="Georgia" w:hAnsi="Georgia" w:cs="Times New Roman"/>
          <w:sz w:val="24"/>
          <w:szCs w:val="24"/>
        </w:rPr>
        <w:t>, így az Eikon segítségével 8 iparágra vonatkozóan összegyűjtöttem az értékelt vállalatok</w:t>
      </w:r>
      <w:r w:rsidR="00667590" w:rsidRPr="007E723C">
        <w:rPr>
          <w:rFonts w:ascii="Georgia" w:hAnsi="Georgia" w:cs="Times New Roman"/>
          <w:sz w:val="24"/>
          <w:szCs w:val="24"/>
        </w:rPr>
        <w:t>at és a rájuk vonatkozó</w:t>
      </w:r>
      <w:r w:rsidRPr="007E723C">
        <w:rPr>
          <w:rFonts w:ascii="Georgia" w:hAnsi="Georgia" w:cs="Times New Roman"/>
          <w:sz w:val="24"/>
          <w:szCs w:val="24"/>
        </w:rPr>
        <w:t xml:space="preserve"> ESG pontszám</w:t>
      </w:r>
      <w:r w:rsidR="00667590" w:rsidRPr="007E723C">
        <w:rPr>
          <w:rFonts w:ascii="Georgia" w:hAnsi="Georgia" w:cs="Times New Roman"/>
          <w:sz w:val="24"/>
          <w:szCs w:val="24"/>
        </w:rPr>
        <w:t>okat. Az így kapott adatbázisból kiszűrtem azokat a vállalatokat, amelyekre vonatkozóan kizárólag az aggregált ESG pontszámok voltak elérhetőek</w:t>
      </w:r>
      <w:r w:rsidR="000571CC" w:rsidRPr="007E723C">
        <w:rPr>
          <w:rFonts w:ascii="Georgia" w:hAnsi="Georgia" w:cs="Times New Roman"/>
          <w:sz w:val="24"/>
          <w:szCs w:val="24"/>
        </w:rPr>
        <w:t>, hiszen kutatás</w:t>
      </w:r>
      <w:r w:rsidR="00DB529F">
        <w:rPr>
          <w:rFonts w:ascii="Georgia" w:hAnsi="Georgia" w:cs="Times New Roman"/>
          <w:sz w:val="24"/>
          <w:szCs w:val="24"/>
        </w:rPr>
        <w:t>unk</w:t>
      </w:r>
      <w:r w:rsidR="000571CC" w:rsidRPr="007E723C">
        <w:rPr>
          <w:rFonts w:ascii="Georgia" w:hAnsi="Georgia" w:cs="Times New Roman"/>
          <w:sz w:val="24"/>
          <w:szCs w:val="24"/>
        </w:rPr>
        <w:t xml:space="preserve"> során nemcsak az összesített pontszámok közötti kapcsolatot vizsgál</w:t>
      </w:r>
      <w:r w:rsidR="00FE54A6">
        <w:rPr>
          <w:rFonts w:ascii="Georgia" w:hAnsi="Georgia" w:cs="Times New Roman"/>
          <w:sz w:val="24"/>
          <w:szCs w:val="24"/>
        </w:rPr>
        <w:t>tuk</w:t>
      </w:r>
      <w:r w:rsidR="000571CC" w:rsidRPr="007E723C">
        <w:rPr>
          <w:rFonts w:ascii="Georgia" w:hAnsi="Georgia" w:cs="Times New Roman"/>
          <w:sz w:val="24"/>
          <w:szCs w:val="24"/>
        </w:rPr>
        <w:t>, hanem az ESG egyes dimenziói szerinti pontszámok közötti</w:t>
      </w:r>
      <w:r w:rsidR="00734F4C" w:rsidRPr="007E723C">
        <w:rPr>
          <w:rFonts w:ascii="Georgia" w:hAnsi="Georgia" w:cs="Times New Roman"/>
          <w:sz w:val="24"/>
          <w:szCs w:val="24"/>
        </w:rPr>
        <w:t xml:space="preserve"> korrelációt</w:t>
      </w:r>
      <w:r w:rsidR="000571CC" w:rsidRPr="007E723C">
        <w:rPr>
          <w:rFonts w:ascii="Georgia" w:hAnsi="Georgia" w:cs="Times New Roman"/>
          <w:sz w:val="24"/>
          <w:szCs w:val="24"/>
        </w:rPr>
        <w:t xml:space="preserve"> is</w:t>
      </w:r>
      <w:r w:rsidR="00667590" w:rsidRPr="007E723C">
        <w:rPr>
          <w:rFonts w:ascii="Georgia" w:hAnsi="Georgia" w:cs="Times New Roman"/>
          <w:sz w:val="24"/>
          <w:szCs w:val="24"/>
        </w:rPr>
        <w:t>.</w:t>
      </w:r>
      <w:r w:rsidR="00734F4C" w:rsidRPr="007E723C">
        <w:rPr>
          <w:rFonts w:ascii="Georgia" w:hAnsi="Georgia" w:cs="Times New Roman"/>
          <w:sz w:val="24"/>
          <w:szCs w:val="24"/>
        </w:rPr>
        <w:t xml:space="preserve"> Az adattisztítást követően előállt adatbázis alkalmas</w:t>
      </w:r>
      <w:r w:rsidR="00B074AF">
        <w:rPr>
          <w:rFonts w:ascii="Georgia" w:hAnsi="Georgia" w:cs="Times New Roman"/>
          <w:sz w:val="24"/>
          <w:szCs w:val="24"/>
        </w:rPr>
        <w:t xml:space="preserve"> volt</w:t>
      </w:r>
      <w:r w:rsidR="00734F4C" w:rsidRPr="007E723C">
        <w:rPr>
          <w:rFonts w:ascii="Georgia" w:hAnsi="Georgia" w:cs="Times New Roman"/>
          <w:sz w:val="24"/>
          <w:szCs w:val="24"/>
        </w:rPr>
        <w:t xml:space="preserve"> további vizsgálatok elvégzésére. Ahhoz azonban, hogy az eredményeket majd megfelelően értékelni is lehessen, érdemes röviden kitérni a létrehozott sokaság ismertetésére.</w:t>
      </w:r>
    </w:p>
    <w:p w14:paraId="19027940" w14:textId="77777777" w:rsidR="00361B14" w:rsidRPr="007E723C" w:rsidRDefault="00734F4C" w:rsidP="00361B14">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Eikon segítségével </w:t>
      </w:r>
      <w:r w:rsidR="00702B11" w:rsidRPr="007E723C">
        <w:rPr>
          <w:rFonts w:ascii="Georgia" w:hAnsi="Georgia" w:cs="Times New Roman"/>
          <w:sz w:val="24"/>
          <w:szCs w:val="24"/>
        </w:rPr>
        <w:t>nyolc különböző iparág vállalatainak ESG pontszámait tekintettem át. Mielőtt azonban az elemzés részleteinek ismertetésére kerülne sor, érdemes áttekinteni, hogy milyen gazdasági tevékenységek is tartoznak az egyes iparágakhoz.</w:t>
      </w:r>
    </w:p>
    <w:p w14:paraId="62C6CECA" w14:textId="73085F45" w:rsidR="00114A07" w:rsidRDefault="00361B14" w:rsidP="00DE31B2">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w:t>
      </w:r>
      <w:r w:rsidRPr="007E723C">
        <w:rPr>
          <w:rFonts w:ascii="Georgia" w:hAnsi="Georgia" w:cs="Times New Roman"/>
          <w:i/>
          <w:iCs/>
          <w:sz w:val="24"/>
          <w:szCs w:val="24"/>
        </w:rPr>
        <w:t>alapanyagok</w:t>
      </w:r>
      <w:r w:rsidRPr="007E723C">
        <w:rPr>
          <w:rFonts w:ascii="Georgia" w:hAnsi="Georgia" w:cs="Times New Roman"/>
          <w:sz w:val="24"/>
          <w:szCs w:val="24"/>
        </w:rPr>
        <w:t xml:space="preserve"> iparágára vonatkozóan összesen 962 vállalat fenntarthatósággal kapcsolatos eredményei érhetőek el. Ide főként vegyszerekkel, ásványi anyagokkal és különböző építőanyagokkal foglalkozó társaságok tartoznak.</w:t>
      </w:r>
      <w:r w:rsidR="00416C0F" w:rsidRPr="007E723C">
        <w:rPr>
          <w:rFonts w:ascii="Georgia" w:hAnsi="Georgia" w:cs="Times New Roman"/>
          <w:sz w:val="24"/>
          <w:szCs w:val="24"/>
        </w:rPr>
        <w:t xml:space="preserve"> A </w:t>
      </w:r>
      <w:r w:rsidR="00416C0F" w:rsidRPr="007E723C">
        <w:rPr>
          <w:rFonts w:ascii="Georgia" w:hAnsi="Georgia" w:cs="Times New Roman"/>
          <w:i/>
          <w:iCs/>
          <w:sz w:val="24"/>
          <w:szCs w:val="24"/>
        </w:rPr>
        <w:t>ciklikus fogyasztási cikkek</w:t>
      </w:r>
      <w:r w:rsidR="00416C0F" w:rsidRPr="007E723C">
        <w:rPr>
          <w:rFonts w:ascii="Georgia" w:hAnsi="Georgia" w:cs="Times New Roman"/>
          <w:sz w:val="24"/>
          <w:szCs w:val="24"/>
        </w:rPr>
        <w:t xml:space="preserve"> esetében összesen 1298 vállalatot értékelt a Refinitiv, köztük olyanokat, amelyek üzleti tevékenysége az autógyártásra, textilgyártásra,</w:t>
      </w:r>
      <w:r w:rsidR="00500514" w:rsidRPr="007E723C">
        <w:rPr>
          <w:rFonts w:ascii="Georgia" w:hAnsi="Georgia" w:cs="Times New Roman"/>
          <w:sz w:val="24"/>
          <w:szCs w:val="24"/>
        </w:rPr>
        <w:t xml:space="preserve"> </w:t>
      </w:r>
      <w:r w:rsidR="00416C0F" w:rsidRPr="007E723C">
        <w:rPr>
          <w:rFonts w:ascii="Georgia" w:hAnsi="Georgia" w:cs="Times New Roman"/>
          <w:sz w:val="24"/>
          <w:szCs w:val="24"/>
        </w:rPr>
        <w:t>különböző háztartási cikkek gyártására, forgalmazására</w:t>
      </w:r>
      <w:r w:rsidR="00500514" w:rsidRPr="007E723C">
        <w:rPr>
          <w:rFonts w:ascii="Georgia" w:hAnsi="Georgia" w:cs="Times New Roman"/>
          <w:sz w:val="24"/>
          <w:szCs w:val="24"/>
        </w:rPr>
        <w:t xml:space="preserve"> vagy egyéb fogyasztói szolgáltatásokra</w:t>
      </w:r>
      <w:r w:rsidR="00416C0F" w:rsidRPr="007E723C">
        <w:rPr>
          <w:rFonts w:ascii="Georgia" w:hAnsi="Georgia" w:cs="Times New Roman"/>
          <w:sz w:val="24"/>
          <w:szCs w:val="24"/>
        </w:rPr>
        <w:t xml:space="preserve"> terjed ki.</w:t>
      </w:r>
      <w:r w:rsidR="00500514" w:rsidRPr="007E723C">
        <w:rPr>
          <w:rFonts w:ascii="Georgia" w:hAnsi="Georgia" w:cs="Times New Roman"/>
          <w:sz w:val="24"/>
          <w:szCs w:val="24"/>
        </w:rPr>
        <w:t xml:space="preserve"> Az ebben az iparágban tevékenykedő vállalatok tehát jellemzően olyan termékeket vagy szolgáltatásokat kínálnak, melyekkel valamilyen rendszeres időközönként felmerülő fogyasztói igényt tudnak kielégíteni.</w:t>
      </w:r>
      <w:r w:rsidR="00416C0F" w:rsidRPr="007E723C">
        <w:rPr>
          <w:rFonts w:ascii="Georgia" w:hAnsi="Georgia" w:cs="Times New Roman"/>
          <w:sz w:val="24"/>
          <w:szCs w:val="24"/>
        </w:rPr>
        <w:t xml:space="preserve"> Ezzel szemben a </w:t>
      </w:r>
      <w:r w:rsidR="00416C0F" w:rsidRPr="007E723C">
        <w:rPr>
          <w:rFonts w:ascii="Georgia" w:hAnsi="Georgia" w:cs="Times New Roman"/>
          <w:i/>
          <w:iCs/>
          <w:sz w:val="24"/>
          <w:szCs w:val="24"/>
        </w:rPr>
        <w:t xml:space="preserve">nem ciklikus fogyasztási cikkek </w:t>
      </w:r>
      <w:r w:rsidR="00416C0F" w:rsidRPr="007E723C">
        <w:rPr>
          <w:rFonts w:ascii="Georgia" w:hAnsi="Georgia" w:cs="Times New Roman"/>
          <w:sz w:val="24"/>
          <w:szCs w:val="24"/>
        </w:rPr>
        <w:t>iparágában mindössze 688 vállalat ESG pontoz</w:t>
      </w:r>
      <w:r w:rsidR="00500514" w:rsidRPr="007E723C">
        <w:rPr>
          <w:rFonts w:ascii="Georgia" w:hAnsi="Georgia" w:cs="Times New Roman"/>
          <w:sz w:val="24"/>
          <w:szCs w:val="24"/>
        </w:rPr>
        <w:t xml:space="preserve">ását készítették el. Ide olyan társaságok </w:t>
      </w:r>
      <w:r w:rsidR="00500514" w:rsidRPr="007E723C">
        <w:rPr>
          <w:rFonts w:ascii="Georgia" w:hAnsi="Georgia" w:cs="Times New Roman"/>
          <w:sz w:val="24"/>
          <w:szCs w:val="24"/>
        </w:rPr>
        <w:lastRenderedPageBreak/>
        <w:t xml:space="preserve">sorolhatók, melyek </w:t>
      </w:r>
      <w:r w:rsidR="00B82138" w:rsidRPr="007E723C">
        <w:rPr>
          <w:rFonts w:ascii="Georgia" w:hAnsi="Georgia" w:cs="Times New Roman"/>
          <w:sz w:val="24"/>
          <w:szCs w:val="24"/>
        </w:rPr>
        <w:t xml:space="preserve">ételek és italok előállításával, illetve forgalmazásával, valamint különböző személyi és háztartási termékekkel és szolgáltatásokkal foglalkoznak. Az </w:t>
      </w:r>
      <w:r w:rsidR="00B82138" w:rsidRPr="007E723C">
        <w:rPr>
          <w:rFonts w:ascii="Georgia" w:hAnsi="Georgia" w:cs="Times New Roman"/>
          <w:i/>
          <w:iCs/>
          <w:sz w:val="24"/>
          <w:szCs w:val="24"/>
        </w:rPr>
        <w:t>energiaszektoron</w:t>
      </w:r>
      <w:r w:rsidR="00B82138" w:rsidRPr="007E723C">
        <w:rPr>
          <w:rFonts w:ascii="Georgia" w:hAnsi="Georgia" w:cs="Times New Roman"/>
          <w:sz w:val="24"/>
          <w:szCs w:val="24"/>
        </w:rPr>
        <w:t xml:space="preserve"> belül a fosszilis tüzelőanyagokkal, a megújuló energiaforrásokkal, illetve az urániummal kapcsolatos tevékenységet folytató társaságok találhatók. Ezek közül összesen 527 vállalat ESG minősítését készítette el a Refinitiv. </w:t>
      </w:r>
      <w:r w:rsidR="001E6066" w:rsidRPr="007E723C">
        <w:rPr>
          <w:rFonts w:ascii="Georgia" w:hAnsi="Georgia" w:cs="Times New Roman"/>
          <w:sz w:val="24"/>
          <w:szCs w:val="24"/>
        </w:rPr>
        <w:t xml:space="preserve">A </w:t>
      </w:r>
      <w:r w:rsidR="001E6066" w:rsidRPr="007E723C">
        <w:rPr>
          <w:rFonts w:ascii="Georgia" w:hAnsi="Georgia" w:cs="Times New Roman"/>
          <w:i/>
          <w:iCs/>
          <w:sz w:val="24"/>
          <w:szCs w:val="24"/>
        </w:rPr>
        <w:t>pénzügyi</w:t>
      </w:r>
      <w:r w:rsidR="001E6066" w:rsidRPr="007E723C">
        <w:rPr>
          <w:rFonts w:ascii="Georgia" w:hAnsi="Georgia" w:cs="Times New Roman"/>
          <w:sz w:val="24"/>
          <w:szCs w:val="24"/>
        </w:rPr>
        <w:t xml:space="preserve"> szektor szereplői egyértelműen a bankok, befektetési szolgáltatók, illetve a biztosítók, melyek</w:t>
      </w:r>
      <w:r w:rsidR="00B82138" w:rsidRPr="007E723C">
        <w:rPr>
          <w:rFonts w:ascii="Georgia" w:hAnsi="Georgia" w:cs="Times New Roman"/>
          <w:sz w:val="24"/>
          <w:szCs w:val="24"/>
        </w:rPr>
        <w:t xml:space="preserve"> </w:t>
      </w:r>
      <w:r w:rsidR="001E6066" w:rsidRPr="007E723C">
        <w:rPr>
          <w:rFonts w:ascii="Georgia" w:hAnsi="Georgia" w:cs="Times New Roman"/>
          <w:sz w:val="24"/>
          <w:szCs w:val="24"/>
        </w:rPr>
        <w:t xml:space="preserve">1285 vállalatot tesznek ki a Refinitiv ESG adatbázisában. </w:t>
      </w:r>
      <w:r w:rsidR="00173BB5" w:rsidRPr="007E723C">
        <w:rPr>
          <w:rFonts w:ascii="Georgia" w:hAnsi="Georgia" w:cs="Times New Roman"/>
          <w:sz w:val="24"/>
          <w:szCs w:val="24"/>
        </w:rPr>
        <w:t xml:space="preserve">Az </w:t>
      </w:r>
      <w:r w:rsidR="00173BB5" w:rsidRPr="007E723C">
        <w:rPr>
          <w:rFonts w:ascii="Georgia" w:hAnsi="Georgia" w:cs="Times New Roman"/>
          <w:i/>
          <w:iCs/>
          <w:sz w:val="24"/>
          <w:szCs w:val="24"/>
        </w:rPr>
        <w:t>egészségügyi</w:t>
      </w:r>
      <w:r w:rsidR="00173BB5" w:rsidRPr="007E723C">
        <w:rPr>
          <w:rFonts w:ascii="Georgia" w:hAnsi="Georgia" w:cs="Times New Roman"/>
          <w:sz w:val="24"/>
          <w:szCs w:val="24"/>
        </w:rPr>
        <w:t xml:space="preserve"> szektorban ezzel szemben csupán 661 vállalat került értékelésre, melyek tevékenységüket tekintve egészségügyi szolgáltatást nyújtanak, gyógyszerészeti, gyógyászati eszközöket gyártanak, forgalmaznak, vagy orvosi kutatásokat végeznek. Az </w:t>
      </w:r>
      <w:r w:rsidR="00173BB5" w:rsidRPr="007E723C">
        <w:rPr>
          <w:rFonts w:ascii="Georgia" w:hAnsi="Georgia" w:cs="Times New Roman"/>
          <w:i/>
          <w:iCs/>
          <w:sz w:val="24"/>
          <w:szCs w:val="24"/>
        </w:rPr>
        <w:t xml:space="preserve">ipari termékkel </w:t>
      </w:r>
      <w:r w:rsidR="00173BB5" w:rsidRPr="007E723C">
        <w:rPr>
          <w:rFonts w:ascii="Georgia" w:hAnsi="Georgia" w:cs="Times New Roman"/>
          <w:sz w:val="24"/>
          <w:szCs w:val="24"/>
        </w:rPr>
        <w:t>foglalkozó vállalatok többnyire különböző gépek és az azokat alkotó alkatrészek gyártását végzik, de ide tartoznak a közlekedés</w:t>
      </w:r>
      <w:r w:rsidR="00B074AF">
        <w:rPr>
          <w:rFonts w:ascii="Georgia" w:hAnsi="Georgia" w:cs="Times New Roman"/>
          <w:sz w:val="24"/>
          <w:szCs w:val="24"/>
        </w:rPr>
        <w:t>hez</w:t>
      </w:r>
      <w:r w:rsidR="00173BB5" w:rsidRPr="007E723C">
        <w:rPr>
          <w:rFonts w:ascii="Georgia" w:hAnsi="Georgia" w:cs="Times New Roman"/>
          <w:sz w:val="24"/>
          <w:szCs w:val="24"/>
        </w:rPr>
        <w:t xml:space="preserve"> szükséges eszközök és szolgáltatások is. Ebben a szektorban a legmagasabb a Refinitiv lefedettsége, </w:t>
      </w:r>
      <w:r w:rsidR="00612E94" w:rsidRPr="007E723C">
        <w:rPr>
          <w:rFonts w:ascii="Georgia" w:hAnsi="Georgia" w:cs="Times New Roman"/>
          <w:sz w:val="24"/>
          <w:szCs w:val="24"/>
        </w:rPr>
        <w:t>összesen 1483 vállalat ESG minősítését készítették el. A technológiával kapcsolatos iparág jellemzően technológiai eszközöket és szolgáltatásokat nyújtó, illetve különböző szoftvereket fejlesztő, forgalmazó, valamit IT megoldásokat kínáló vállalatok tömörít, melyek közül 1195 társaság ESG pontszámai érhetőek el a Refinitiv adatbázisában.</w:t>
      </w:r>
      <w:r w:rsidR="00114A07" w:rsidRPr="007E723C">
        <w:rPr>
          <w:rFonts w:ascii="Georgia" w:hAnsi="Georgia" w:cs="Times New Roman"/>
          <w:sz w:val="24"/>
          <w:szCs w:val="24"/>
        </w:rPr>
        <w:t xml:space="preserve"> </w:t>
      </w:r>
    </w:p>
    <w:p w14:paraId="4C3EF664" w14:textId="6F2D326E" w:rsidR="00F144FA" w:rsidRDefault="000571CC" w:rsidP="00D1320A">
      <w:pPr>
        <w:spacing w:line="360" w:lineRule="auto"/>
        <w:ind w:firstLine="709"/>
        <w:jc w:val="both"/>
        <w:rPr>
          <w:rFonts w:ascii="Georgia" w:hAnsi="Georgia" w:cs="Times New Roman"/>
          <w:sz w:val="24"/>
          <w:szCs w:val="24"/>
        </w:rPr>
      </w:pPr>
      <w:r w:rsidRPr="007E723C">
        <w:rPr>
          <w:rFonts w:ascii="Georgia" w:hAnsi="Georgia" w:cs="Times New Roman"/>
          <w:sz w:val="24"/>
          <w:szCs w:val="24"/>
        </w:rPr>
        <w:t>Az adattisztítás követően előállt adatbázis</w:t>
      </w:r>
      <w:r w:rsidR="00B32AA1" w:rsidRPr="007E723C">
        <w:rPr>
          <w:rFonts w:ascii="Georgia" w:hAnsi="Georgia" w:cs="Times New Roman"/>
          <w:sz w:val="24"/>
          <w:szCs w:val="24"/>
        </w:rPr>
        <w:t xml:space="preserve"> tehát</w:t>
      </w:r>
      <w:r w:rsidRPr="007E723C">
        <w:rPr>
          <w:rFonts w:ascii="Georgia" w:hAnsi="Georgia" w:cs="Times New Roman"/>
          <w:sz w:val="24"/>
          <w:szCs w:val="24"/>
        </w:rPr>
        <w:t xml:space="preserve"> alkalmas</w:t>
      </w:r>
      <w:r w:rsidR="00B074AF">
        <w:rPr>
          <w:rFonts w:ascii="Georgia" w:hAnsi="Georgia" w:cs="Times New Roman"/>
          <w:sz w:val="24"/>
          <w:szCs w:val="24"/>
        </w:rPr>
        <w:t xml:space="preserve"> volt</w:t>
      </w:r>
      <w:r w:rsidRPr="007E723C">
        <w:rPr>
          <w:rFonts w:ascii="Georgia" w:hAnsi="Georgia" w:cs="Times New Roman"/>
          <w:sz w:val="24"/>
          <w:szCs w:val="24"/>
        </w:rPr>
        <w:t xml:space="preserve"> további elemzések lefolytatására</w:t>
      </w:r>
      <w:r w:rsidR="00F165AB" w:rsidRPr="007E723C">
        <w:rPr>
          <w:rFonts w:ascii="Georgia" w:hAnsi="Georgia" w:cs="Times New Roman"/>
          <w:sz w:val="24"/>
          <w:szCs w:val="24"/>
        </w:rPr>
        <w:t>, ezért az Excel segítségével</w:t>
      </w:r>
      <w:r w:rsidR="00374AC8" w:rsidRPr="007E723C">
        <w:rPr>
          <w:rFonts w:ascii="Georgia" w:hAnsi="Georgia" w:cs="Times New Roman"/>
          <w:sz w:val="24"/>
          <w:szCs w:val="24"/>
        </w:rPr>
        <w:t xml:space="preserve"> egyszerű</w:t>
      </w:r>
      <w:r w:rsidR="00F165AB" w:rsidRPr="007E723C">
        <w:rPr>
          <w:rFonts w:ascii="Georgia" w:hAnsi="Georgia" w:cs="Times New Roman"/>
          <w:sz w:val="24"/>
          <w:szCs w:val="24"/>
        </w:rPr>
        <w:t xml:space="preserve"> véletlen mintavételt végeztem</w:t>
      </w:r>
      <w:r w:rsidR="00374AC8" w:rsidRPr="007E723C">
        <w:rPr>
          <w:rFonts w:ascii="Georgia" w:hAnsi="Georgia" w:cs="Times New Roman"/>
          <w:sz w:val="24"/>
          <w:szCs w:val="24"/>
        </w:rPr>
        <w:t>, mely során a sokaság minden egyes eleme azonos valószínűséggel kerülhet</w:t>
      </w:r>
      <w:r w:rsidR="00B074AF">
        <w:rPr>
          <w:rFonts w:ascii="Georgia" w:hAnsi="Georgia" w:cs="Times New Roman"/>
          <w:sz w:val="24"/>
          <w:szCs w:val="24"/>
        </w:rPr>
        <w:t>ett</w:t>
      </w:r>
      <w:r w:rsidR="00374AC8" w:rsidRPr="007E723C">
        <w:rPr>
          <w:rFonts w:ascii="Georgia" w:hAnsi="Georgia" w:cs="Times New Roman"/>
          <w:sz w:val="24"/>
          <w:szCs w:val="24"/>
        </w:rPr>
        <w:t xml:space="preserve"> be a mintába. Ebben az esetben ez azért volt</w:t>
      </w:r>
      <w:r w:rsidR="007F55FE" w:rsidRPr="007E723C">
        <w:rPr>
          <w:rFonts w:ascii="Georgia" w:hAnsi="Georgia" w:cs="Times New Roman"/>
          <w:sz w:val="24"/>
          <w:szCs w:val="24"/>
        </w:rPr>
        <w:t xml:space="preserve"> egy</w:t>
      </w:r>
      <w:r w:rsidR="00374AC8" w:rsidRPr="007E723C">
        <w:rPr>
          <w:rFonts w:ascii="Georgia" w:hAnsi="Georgia" w:cs="Times New Roman"/>
          <w:sz w:val="24"/>
          <w:szCs w:val="24"/>
        </w:rPr>
        <w:t xml:space="preserve"> megfelelő mintavételi eljárás, mert véges számú, homogén sokaságról van szó, ahol semmilyen előzetes szűréssel nem </w:t>
      </w:r>
      <w:r w:rsidR="007F55FE" w:rsidRPr="007E723C">
        <w:rPr>
          <w:rFonts w:ascii="Georgia" w:hAnsi="Georgia" w:cs="Times New Roman"/>
          <w:sz w:val="24"/>
          <w:szCs w:val="24"/>
        </w:rPr>
        <w:t>kellett</w:t>
      </w:r>
      <w:r w:rsidR="00374AC8" w:rsidRPr="007E723C">
        <w:rPr>
          <w:rFonts w:ascii="Georgia" w:hAnsi="Georgia" w:cs="Times New Roman"/>
          <w:sz w:val="24"/>
          <w:szCs w:val="24"/>
        </w:rPr>
        <w:t xml:space="preserve"> szűkíteni a kiválasztásra kerülő elemeket. Így mind a nyolc iparágra külön-külön elvégeztem a mintavétel annak érdekében, hogy az eredményeket majd iparáganként összehasonlítva is értelmezni tudjam</w:t>
      </w:r>
      <w:r w:rsidR="00B32AA1" w:rsidRPr="007E723C">
        <w:rPr>
          <w:rFonts w:ascii="Georgia" w:hAnsi="Georgia" w:cs="Times New Roman"/>
          <w:sz w:val="24"/>
          <w:szCs w:val="24"/>
        </w:rPr>
        <w:t xml:space="preserve">. Ez a módszer azért is hasznos, mert így egyik iparág sem lesz alul vagy felülreprezentált a mintában. Ez pedig azért </w:t>
      </w:r>
      <w:r w:rsidR="007F55FE" w:rsidRPr="007E723C">
        <w:rPr>
          <w:rFonts w:ascii="Georgia" w:hAnsi="Georgia" w:cs="Times New Roman"/>
          <w:sz w:val="24"/>
          <w:szCs w:val="24"/>
        </w:rPr>
        <w:t>előnyös</w:t>
      </w:r>
      <w:r w:rsidR="00B32AA1" w:rsidRPr="007E723C">
        <w:rPr>
          <w:rFonts w:ascii="Georgia" w:hAnsi="Georgia" w:cs="Times New Roman"/>
          <w:sz w:val="24"/>
          <w:szCs w:val="24"/>
        </w:rPr>
        <w:t>, mert az egyes iparág</w:t>
      </w:r>
      <w:r w:rsidR="0083708F" w:rsidRPr="007E723C">
        <w:rPr>
          <w:rFonts w:ascii="Georgia" w:hAnsi="Georgia" w:cs="Times New Roman"/>
          <w:sz w:val="24"/>
          <w:szCs w:val="24"/>
        </w:rPr>
        <w:t>ak</w:t>
      </w:r>
      <w:r w:rsidR="00B32AA1" w:rsidRPr="007E723C">
        <w:rPr>
          <w:rFonts w:ascii="Georgia" w:hAnsi="Georgia" w:cs="Times New Roman"/>
          <w:sz w:val="24"/>
          <w:szCs w:val="24"/>
        </w:rPr>
        <w:t xml:space="preserve"> teljesen más szempontból érintettek a fenntarthatóságban, így ezzel a módszerrel ennek a tényezőnek a torzító hatását is ki </w:t>
      </w:r>
      <w:r w:rsidR="007F55FE" w:rsidRPr="007E723C">
        <w:rPr>
          <w:rFonts w:ascii="Georgia" w:hAnsi="Georgia" w:cs="Times New Roman"/>
          <w:sz w:val="24"/>
          <w:szCs w:val="24"/>
        </w:rPr>
        <w:t>lehet</w:t>
      </w:r>
      <w:r w:rsidR="00B32AA1" w:rsidRPr="007E723C">
        <w:rPr>
          <w:rFonts w:ascii="Georgia" w:hAnsi="Georgia" w:cs="Times New Roman"/>
          <w:sz w:val="24"/>
          <w:szCs w:val="24"/>
        </w:rPr>
        <w:t xml:space="preserve"> szűrni. A kiválasztás előtt a mintaelemszámot szektoronként 5 elemben határoztam meg, majd az Excel véletlen függvényének segítségével elvégeztem a mintavételt.</w:t>
      </w:r>
      <w:r w:rsidR="007F55FE" w:rsidRPr="007E723C">
        <w:rPr>
          <w:rFonts w:ascii="Georgia" w:hAnsi="Georgia" w:cs="Times New Roman"/>
          <w:sz w:val="24"/>
          <w:szCs w:val="24"/>
        </w:rPr>
        <w:t xml:space="preserve"> </w:t>
      </w:r>
      <w:r w:rsidR="00B32AA1" w:rsidRPr="007E723C">
        <w:rPr>
          <w:rFonts w:ascii="Georgia" w:hAnsi="Georgia" w:cs="Times New Roman"/>
          <w:sz w:val="24"/>
          <w:szCs w:val="24"/>
        </w:rPr>
        <w:t>A</w:t>
      </w:r>
      <w:r w:rsidRPr="007E723C">
        <w:rPr>
          <w:rFonts w:ascii="Georgia" w:hAnsi="Georgia" w:cs="Times New Roman"/>
          <w:sz w:val="24"/>
          <w:szCs w:val="24"/>
        </w:rPr>
        <w:t xml:space="preserve"> következőkben röviden ismertetem </w:t>
      </w:r>
      <w:r w:rsidR="000B76D8" w:rsidRPr="007E723C">
        <w:rPr>
          <w:rFonts w:ascii="Georgia" w:hAnsi="Georgia" w:cs="Times New Roman"/>
          <w:sz w:val="24"/>
          <w:szCs w:val="24"/>
        </w:rPr>
        <w:t>a</w:t>
      </w:r>
      <w:r w:rsidR="00F165AB" w:rsidRPr="007E723C">
        <w:rPr>
          <w:rFonts w:ascii="Georgia" w:hAnsi="Georgia" w:cs="Times New Roman"/>
          <w:sz w:val="24"/>
          <w:szCs w:val="24"/>
        </w:rPr>
        <w:t xml:space="preserve"> </w:t>
      </w:r>
      <w:r w:rsidR="000B76D8" w:rsidRPr="007E723C">
        <w:rPr>
          <w:rFonts w:ascii="Georgia" w:hAnsi="Georgia" w:cs="Times New Roman"/>
          <w:sz w:val="24"/>
          <w:szCs w:val="24"/>
        </w:rPr>
        <w:t xml:space="preserve">kapott </w:t>
      </w:r>
      <w:r w:rsidR="007F55FE" w:rsidRPr="007E723C">
        <w:rPr>
          <w:rFonts w:ascii="Georgia" w:hAnsi="Georgia" w:cs="Times New Roman"/>
          <w:sz w:val="24"/>
          <w:szCs w:val="24"/>
        </w:rPr>
        <w:t xml:space="preserve">40 elemű </w:t>
      </w:r>
      <w:r w:rsidR="000B76D8" w:rsidRPr="007E723C">
        <w:rPr>
          <w:rFonts w:ascii="Georgia" w:hAnsi="Georgia" w:cs="Times New Roman"/>
          <w:sz w:val="24"/>
          <w:szCs w:val="24"/>
        </w:rPr>
        <w:t xml:space="preserve">minta főbb ismérveit. </w:t>
      </w:r>
      <w:r w:rsidR="009572DA">
        <w:rPr>
          <w:rFonts w:ascii="Georgia" w:hAnsi="Georgia" w:cs="Times New Roman"/>
          <w:sz w:val="24"/>
          <w:szCs w:val="24"/>
        </w:rPr>
        <w:t>Az egyes vállalatokra vonatkozó részletes információk a</w:t>
      </w:r>
      <w:r w:rsidR="00271D25">
        <w:rPr>
          <w:rFonts w:ascii="Georgia" w:hAnsi="Georgia" w:cs="Times New Roman"/>
          <w:sz w:val="24"/>
          <w:szCs w:val="24"/>
        </w:rPr>
        <w:t>z 1</w:t>
      </w:r>
      <w:r w:rsidR="00271D25" w:rsidRPr="00271D25">
        <w:rPr>
          <w:rFonts w:ascii="Georgia" w:hAnsi="Georgia" w:cs="Times New Roman"/>
          <w:sz w:val="24"/>
          <w:szCs w:val="24"/>
        </w:rPr>
        <w:t>.</w:t>
      </w:r>
      <w:r w:rsidR="009572DA" w:rsidRPr="00271D25">
        <w:rPr>
          <w:rFonts w:ascii="Georgia" w:hAnsi="Georgia" w:cs="Times New Roman"/>
          <w:sz w:val="24"/>
          <w:szCs w:val="24"/>
        </w:rPr>
        <w:t xml:space="preserve"> számú mellékletben</w:t>
      </w:r>
      <w:r w:rsidR="009572DA">
        <w:rPr>
          <w:rFonts w:ascii="Georgia" w:hAnsi="Georgia" w:cs="Times New Roman"/>
          <w:sz w:val="24"/>
          <w:szCs w:val="24"/>
        </w:rPr>
        <w:t xml:space="preserve"> találhatók.</w:t>
      </w:r>
    </w:p>
    <w:p w14:paraId="45076EF2" w14:textId="0AF06138" w:rsidR="00C71826" w:rsidRDefault="005839B9" w:rsidP="0046304D">
      <w:pPr>
        <w:spacing w:line="360" w:lineRule="auto"/>
        <w:ind w:firstLine="709"/>
        <w:jc w:val="both"/>
        <w:rPr>
          <w:rFonts w:ascii="Georgia" w:hAnsi="Georgia" w:cs="Times New Roman"/>
          <w:sz w:val="24"/>
          <w:szCs w:val="24"/>
        </w:rPr>
      </w:pPr>
      <w:r>
        <w:rPr>
          <w:rFonts w:ascii="Georgia" w:hAnsi="Georgia" w:cs="Times New Roman"/>
          <w:sz w:val="24"/>
          <w:szCs w:val="24"/>
        </w:rPr>
        <w:lastRenderedPageBreak/>
        <w:t>A minta összetételének vizsgálata során alapvetően a kiválasztott vállalatok ESG pontszámára, földrajzi elhelyezkedésére és méretére tértem ki.</w:t>
      </w:r>
    </w:p>
    <w:p w14:paraId="40E51187" w14:textId="79CFF9C9" w:rsidR="00681D29" w:rsidRDefault="00681D29" w:rsidP="00681D29">
      <w:pPr>
        <w:spacing w:line="360" w:lineRule="auto"/>
        <w:ind w:firstLine="709"/>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97152" behindDoc="0" locked="0" layoutInCell="1" allowOverlap="1" wp14:anchorId="0C988019" wp14:editId="0733EB01">
            <wp:simplePos x="0" y="0"/>
            <wp:positionH relativeFrom="column">
              <wp:posOffset>487680</wp:posOffset>
            </wp:positionH>
            <wp:positionV relativeFrom="paragraph">
              <wp:posOffset>1936115</wp:posOffset>
            </wp:positionV>
            <wp:extent cx="4352290" cy="2247900"/>
            <wp:effectExtent l="19050" t="19050" r="10160" b="1905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290" cy="2247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17424">
        <w:rPr>
          <w:rFonts w:ascii="Georgia" w:hAnsi="Georgia" w:cs="Times New Roman"/>
          <w:sz w:val="24"/>
          <w:szCs w:val="24"/>
        </w:rPr>
        <w:t>A vállalatok ESG pontszámai tekintetében elmondható, hogy a Refinitiv által közzétett minősítések a mintába lévő vállalatok esetében</w:t>
      </w:r>
      <w:r w:rsidR="00B71E77">
        <w:rPr>
          <w:rFonts w:ascii="Georgia" w:hAnsi="Georgia" w:cs="Times New Roman"/>
          <w:sz w:val="24"/>
          <w:szCs w:val="24"/>
        </w:rPr>
        <w:t xml:space="preserve"> főként közepes (B, C) ESG teljesítményt mutatnak.</w:t>
      </w:r>
      <w:r w:rsidR="00C17424">
        <w:rPr>
          <w:rFonts w:ascii="Georgia" w:hAnsi="Georgia" w:cs="Times New Roman"/>
          <w:sz w:val="24"/>
          <w:szCs w:val="24"/>
        </w:rPr>
        <w:t xml:space="preserve"> Ez az elemzést szempontjából azért is előnyös, mert így a mint</w:t>
      </w:r>
      <w:r w:rsidR="00B71E77">
        <w:rPr>
          <w:rFonts w:ascii="Georgia" w:hAnsi="Georgia" w:cs="Times New Roman"/>
          <w:sz w:val="24"/>
          <w:szCs w:val="24"/>
        </w:rPr>
        <w:t xml:space="preserve">ában nincsenek szélsőségesen jó, vagy rossz teljesítményű vállalatok, melyek </w:t>
      </w:r>
      <w:r w:rsidR="00C71826">
        <w:rPr>
          <w:rFonts w:ascii="Georgia" w:hAnsi="Georgia" w:cs="Times New Roman"/>
          <w:sz w:val="24"/>
          <w:szCs w:val="24"/>
        </w:rPr>
        <w:t>méretüknél, vagy piaci erejüknél fogva befolyásolni tudnák a minősítők értékeléseit.</w:t>
      </w:r>
      <w:r w:rsidR="001D742F">
        <w:rPr>
          <w:rFonts w:ascii="Georgia" w:hAnsi="Georgia" w:cs="Times New Roman"/>
          <w:sz w:val="24"/>
          <w:szCs w:val="24"/>
        </w:rPr>
        <w:t xml:space="preserve"> A következő ábra a mintában szereplő vállalatok számának ESG minősítés szerinti megoszlását mutatja. </w:t>
      </w:r>
    </w:p>
    <w:p w14:paraId="14EA2082" w14:textId="6A5483F0" w:rsidR="00681D29" w:rsidRPr="00476666" w:rsidRDefault="00681D29" w:rsidP="00FF7AC9">
      <w:pPr>
        <w:pStyle w:val="Listaszerbekezds"/>
        <w:numPr>
          <w:ilvl w:val="0"/>
          <w:numId w:val="7"/>
        </w:numPr>
        <w:spacing w:after="0" w:line="360" w:lineRule="auto"/>
        <w:ind w:left="1066" w:hanging="357"/>
        <w:rPr>
          <w:rFonts w:ascii="Georgia" w:hAnsi="Georgia" w:cs="Times New Roman"/>
          <w:i/>
          <w:iCs/>
          <w:sz w:val="20"/>
          <w:szCs w:val="20"/>
        </w:rPr>
      </w:pPr>
      <w:r w:rsidRPr="00476666">
        <w:rPr>
          <w:rFonts w:ascii="Georgia" w:hAnsi="Georgia" w:cs="Times New Roman"/>
          <w:b/>
          <w:bCs/>
          <w:i/>
          <w:iCs/>
          <w:sz w:val="20"/>
          <w:szCs w:val="20"/>
        </w:rPr>
        <w:t>ábra:</w:t>
      </w:r>
      <w:r w:rsidRPr="00476666">
        <w:rPr>
          <w:rFonts w:ascii="Georgia" w:hAnsi="Georgia" w:cs="Times New Roman"/>
          <w:i/>
          <w:iCs/>
          <w:sz w:val="20"/>
          <w:szCs w:val="20"/>
        </w:rPr>
        <w:t xml:space="preserve"> </w:t>
      </w:r>
      <w:r w:rsidR="00027E3A" w:rsidRPr="00476666">
        <w:rPr>
          <w:rFonts w:ascii="Georgia" w:hAnsi="Georgia" w:cs="Times New Roman"/>
          <w:i/>
          <w:iCs/>
          <w:sz w:val="20"/>
          <w:szCs w:val="20"/>
        </w:rPr>
        <w:t>A mintában szereplő vállalatok minősítéseinek eloszlása</w:t>
      </w:r>
    </w:p>
    <w:p w14:paraId="04FA9197" w14:textId="6DEC14E2" w:rsidR="00681D29" w:rsidRPr="00476666" w:rsidRDefault="00681D29" w:rsidP="00027E3A">
      <w:pPr>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54787896" w14:textId="456DC375" w:rsidR="00C17424" w:rsidRDefault="00FD2FC7" w:rsidP="00B32AA1">
      <w:pPr>
        <w:spacing w:line="360" w:lineRule="auto"/>
        <w:ind w:firstLine="709"/>
        <w:jc w:val="both"/>
        <w:rPr>
          <w:rFonts w:ascii="Georgia" w:hAnsi="Georgia" w:cs="Times New Roman"/>
          <w:sz w:val="24"/>
          <w:szCs w:val="24"/>
        </w:rPr>
      </w:pPr>
      <w:r>
        <w:rPr>
          <w:rFonts w:ascii="Georgia" w:hAnsi="Georgia" w:cs="Times New Roman"/>
          <w:sz w:val="24"/>
          <w:szCs w:val="24"/>
        </w:rPr>
        <w:t>A mintában szereplő vállalatok földrajzi elhelyezkedésével kapcsolatban azonban már kevésbé tekinthető előnyösnek a minta. A kiválasztott társaságok székhely szerinti elhelyezkedését vizsgálva ugyanis az látszik, hogy az ázsiai és óceániai vállalatok felülreprezentáltak a mintában, hiszen a sokasághoz képest nagyobb részarány</w:t>
      </w:r>
      <w:r w:rsidR="007F570E">
        <w:rPr>
          <w:rFonts w:ascii="Georgia" w:hAnsi="Georgia" w:cs="Times New Roman"/>
          <w:sz w:val="24"/>
          <w:szCs w:val="24"/>
        </w:rPr>
        <w:t>t</w:t>
      </w:r>
      <w:r>
        <w:rPr>
          <w:rFonts w:ascii="Georgia" w:hAnsi="Georgia" w:cs="Times New Roman"/>
          <w:sz w:val="24"/>
          <w:szCs w:val="24"/>
        </w:rPr>
        <w:t xml:space="preserve"> képviselnek a mintában. Ezzel szemben az európai, illetve amerikai vállalatok pedig alulreprezentáltak a mintában, mert min</w:t>
      </w:r>
      <w:r w:rsidR="001D742F">
        <w:rPr>
          <w:rFonts w:ascii="Georgia" w:hAnsi="Georgia" w:cs="Times New Roman"/>
          <w:sz w:val="24"/>
          <w:szCs w:val="24"/>
        </w:rPr>
        <w:t>d</w:t>
      </w:r>
      <w:r>
        <w:rPr>
          <w:rFonts w:ascii="Georgia" w:hAnsi="Georgia" w:cs="Times New Roman"/>
          <w:sz w:val="24"/>
          <w:szCs w:val="24"/>
        </w:rPr>
        <w:t>két kontinens részaránya 25% alatt</w:t>
      </w:r>
      <w:r w:rsidR="007F570E">
        <w:rPr>
          <w:rFonts w:ascii="Georgia" w:hAnsi="Georgia" w:cs="Times New Roman"/>
          <w:sz w:val="24"/>
          <w:szCs w:val="24"/>
        </w:rPr>
        <w:t xml:space="preserve"> maradt</w:t>
      </w:r>
      <w:r>
        <w:rPr>
          <w:rFonts w:ascii="Georgia" w:hAnsi="Georgia" w:cs="Times New Roman"/>
          <w:sz w:val="24"/>
          <w:szCs w:val="24"/>
        </w:rPr>
        <w:t xml:space="preserve">. </w:t>
      </w:r>
      <w:r w:rsidR="000423CB">
        <w:rPr>
          <w:rFonts w:ascii="Georgia" w:hAnsi="Georgia" w:cs="Times New Roman"/>
          <w:sz w:val="24"/>
          <w:szCs w:val="24"/>
        </w:rPr>
        <w:t xml:space="preserve">Ez a fajta torzítás majd problémát okozhat a végső következtetések levonásakor, ugyanis számos korábbi </w:t>
      </w:r>
      <w:r w:rsidR="00CB74EF">
        <w:rPr>
          <w:rFonts w:ascii="Georgia" w:hAnsi="Georgia" w:cs="Times New Roman"/>
          <w:sz w:val="24"/>
          <w:szCs w:val="24"/>
        </w:rPr>
        <w:t xml:space="preserve">kutatás rámutatott arra, hogy a vállalatok ESG pontszámaira jelentős hatással van a földrajzi elhelyezkedés is. </w:t>
      </w:r>
    </w:p>
    <w:p w14:paraId="3F0A4778" w14:textId="13FB48A5" w:rsidR="00681D29" w:rsidRPr="00476666" w:rsidRDefault="00027E3A" w:rsidP="00FF7AC9">
      <w:pPr>
        <w:pStyle w:val="Listaszerbekezds"/>
        <w:numPr>
          <w:ilvl w:val="0"/>
          <w:numId w:val="7"/>
        </w:numPr>
        <w:spacing w:after="0" w:line="360" w:lineRule="auto"/>
        <w:ind w:left="1066" w:hanging="357"/>
        <w:jc w:val="center"/>
        <w:rPr>
          <w:rFonts w:ascii="Georgia" w:hAnsi="Georgia" w:cs="Times New Roman"/>
          <w:i/>
          <w:iCs/>
          <w:sz w:val="20"/>
          <w:szCs w:val="20"/>
        </w:rPr>
      </w:pPr>
      <w:r w:rsidRPr="00476666">
        <w:rPr>
          <w:rFonts w:ascii="Georgia" w:hAnsi="Georgia" w:cs="Times New Roman"/>
          <w:b/>
          <w:bCs/>
          <w:i/>
          <w:iCs/>
          <w:noProof/>
          <w:sz w:val="20"/>
          <w:szCs w:val="20"/>
          <w:lang w:eastAsia="hu-HU"/>
        </w:rPr>
        <w:lastRenderedPageBreak/>
        <w:drawing>
          <wp:anchor distT="0" distB="0" distL="114300" distR="114300" simplePos="0" relativeHeight="251698176" behindDoc="0" locked="0" layoutInCell="1" allowOverlap="1" wp14:anchorId="17D10B45" wp14:editId="085E926C">
            <wp:simplePos x="0" y="0"/>
            <wp:positionH relativeFrom="column">
              <wp:posOffset>633095</wp:posOffset>
            </wp:positionH>
            <wp:positionV relativeFrom="paragraph">
              <wp:posOffset>4445</wp:posOffset>
            </wp:positionV>
            <wp:extent cx="4299585" cy="2236470"/>
            <wp:effectExtent l="0" t="0" r="5715" b="11430"/>
            <wp:wrapTopAndBottom/>
            <wp:docPr id="45" name="Chart 45">
              <a:extLst xmlns:a="http://schemas.openxmlformats.org/drawingml/2006/main">
                <a:ext uri="{FF2B5EF4-FFF2-40B4-BE49-F238E27FC236}">
                  <a16:creationId xmlns:a16="http://schemas.microsoft.com/office/drawing/2014/main" id="{0FC1A31A-094E-41DF-8335-CD6EDEC9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81D29" w:rsidRPr="00476666">
        <w:rPr>
          <w:rFonts w:ascii="Georgia" w:hAnsi="Georgia" w:cs="Times New Roman"/>
          <w:b/>
          <w:bCs/>
          <w:i/>
          <w:iCs/>
          <w:sz w:val="20"/>
          <w:szCs w:val="20"/>
        </w:rPr>
        <w:t>ábra</w:t>
      </w:r>
      <w:r w:rsidR="00681D29" w:rsidRPr="00476666">
        <w:rPr>
          <w:rFonts w:ascii="Georgia" w:hAnsi="Georgia" w:cs="Times New Roman"/>
          <w:i/>
          <w:iCs/>
          <w:sz w:val="20"/>
          <w:szCs w:val="20"/>
        </w:rPr>
        <w:t xml:space="preserve">: A </w:t>
      </w:r>
      <w:r w:rsidRPr="00476666">
        <w:rPr>
          <w:rFonts w:ascii="Georgia" w:hAnsi="Georgia" w:cs="Times New Roman"/>
          <w:i/>
          <w:iCs/>
          <w:sz w:val="20"/>
          <w:szCs w:val="20"/>
        </w:rPr>
        <w:t>vállalatok számának kontinensek szerinti megoszlása</w:t>
      </w:r>
    </w:p>
    <w:p w14:paraId="08648FE1" w14:textId="77777777" w:rsidR="00681D29" w:rsidRPr="00476666" w:rsidRDefault="00681D29" w:rsidP="00027E3A">
      <w:pPr>
        <w:spacing w:after="240" w:line="360" w:lineRule="auto"/>
        <w:jc w:val="center"/>
        <w:rPr>
          <w:rFonts w:ascii="Georgia" w:hAnsi="Georgia" w:cs="Times New Roman"/>
          <w:i/>
          <w:iCs/>
          <w:sz w:val="20"/>
          <w:szCs w:val="20"/>
        </w:rPr>
      </w:pPr>
      <w:r w:rsidRPr="00476666">
        <w:rPr>
          <w:rFonts w:ascii="Georgia" w:hAnsi="Georgia" w:cs="Times New Roman"/>
          <w:i/>
          <w:iCs/>
          <w:sz w:val="20"/>
          <w:szCs w:val="20"/>
        </w:rPr>
        <w:t>Forrás: saját szerkesztés</w:t>
      </w:r>
    </w:p>
    <w:p w14:paraId="3BDB1FE8" w14:textId="2755BC65" w:rsidR="00CB74EF" w:rsidRDefault="00027E3A" w:rsidP="00117BC5">
      <w:pPr>
        <w:spacing w:line="360" w:lineRule="auto"/>
        <w:ind w:firstLine="720"/>
        <w:jc w:val="both"/>
        <w:rPr>
          <w:rFonts w:ascii="Georgia" w:hAnsi="Georgia" w:cs="Times New Roman"/>
          <w:sz w:val="24"/>
          <w:szCs w:val="24"/>
        </w:rPr>
      </w:pPr>
      <w:r>
        <w:rPr>
          <w:rFonts w:ascii="Georgia" w:hAnsi="Georgia" w:cs="Times New Roman"/>
          <w:noProof/>
          <w:sz w:val="24"/>
          <w:szCs w:val="24"/>
          <w:lang w:eastAsia="hu-HU"/>
        </w:rPr>
        <w:drawing>
          <wp:anchor distT="0" distB="0" distL="114300" distR="114300" simplePos="0" relativeHeight="251699200" behindDoc="0" locked="0" layoutInCell="1" allowOverlap="1" wp14:anchorId="39754465" wp14:editId="2609010D">
            <wp:simplePos x="0" y="0"/>
            <wp:positionH relativeFrom="column">
              <wp:posOffset>1471295</wp:posOffset>
            </wp:positionH>
            <wp:positionV relativeFrom="paragraph">
              <wp:posOffset>2957195</wp:posOffset>
            </wp:positionV>
            <wp:extent cx="2933700" cy="1607820"/>
            <wp:effectExtent l="0" t="0" r="0" b="0"/>
            <wp:wrapTopAndBottom/>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33700" cy="1607820"/>
                    </a:xfrm>
                    <a:prstGeom prst="rect">
                      <a:avLst/>
                    </a:prstGeom>
                  </pic:spPr>
                </pic:pic>
              </a:graphicData>
            </a:graphic>
            <wp14:sizeRelH relativeFrom="page">
              <wp14:pctWidth>0</wp14:pctWidth>
            </wp14:sizeRelH>
            <wp14:sizeRelV relativeFrom="page">
              <wp14:pctHeight>0</wp14:pctHeight>
            </wp14:sizeRelV>
          </wp:anchor>
        </w:drawing>
      </w:r>
      <w:r w:rsidR="00BA3E26">
        <w:rPr>
          <w:rFonts w:ascii="Georgia" w:hAnsi="Georgia" w:cs="Times New Roman"/>
          <w:sz w:val="24"/>
          <w:szCs w:val="24"/>
        </w:rPr>
        <w:t xml:space="preserve">A kiválasztott vállalatokra vonatkozóan megvizsgáltam azt is, hogy hogyan </w:t>
      </w:r>
      <w:r w:rsidR="00B074AF">
        <w:rPr>
          <w:rFonts w:ascii="Georgia" w:hAnsi="Georgia" w:cs="Times New Roman"/>
          <w:sz w:val="24"/>
          <w:szCs w:val="24"/>
        </w:rPr>
        <w:t xml:space="preserve">alakul </w:t>
      </w:r>
      <w:r w:rsidR="00BA3E26">
        <w:rPr>
          <w:rFonts w:ascii="Georgia" w:hAnsi="Georgia" w:cs="Times New Roman"/>
          <w:sz w:val="24"/>
          <w:szCs w:val="24"/>
        </w:rPr>
        <w:t xml:space="preserve">a mintában szereplő vállalatok mérete, melyhez a teljes eszközértéket vettem alapul. Ahogy a lenti táblázat is mutatja, túlnyomó részt olyan vállalatok kerültek a mintába, melyek eszközeinek értéke 2021. december 31-én nem haladta meg a 10 milliárd dollárt. A minta 1/6 részét azonban olyan </w:t>
      </w:r>
      <w:r w:rsidR="003B07BB">
        <w:rPr>
          <w:rFonts w:ascii="Georgia" w:hAnsi="Georgia" w:cs="Times New Roman"/>
          <w:sz w:val="24"/>
          <w:szCs w:val="24"/>
        </w:rPr>
        <w:t xml:space="preserve">nagyvállalatok alkotják, mint az </w:t>
      </w:r>
      <w:r w:rsidR="003B07BB" w:rsidRPr="003B07BB">
        <w:rPr>
          <w:rFonts w:ascii="Georgia" w:hAnsi="Georgia" w:cs="Times New Roman"/>
          <w:sz w:val="24"/>
          <w:szCs w:val="24"/>
        </w:rPr>
        <w:t>LG Electronics Inc</w:t>
      </w:r>
      <w:r w:rsidR="003B07BB">
        <w:rPr>
          <w:rFonts w:ascii="Georgia" w:hAnsi="Georgia" w:cs="Times New Roman"/>
          <w:sz w:val="24"/>
          <w:szCs w:val="24"/>
        </w:rPr>
        <w:t xml:space="preserve">, a </w:t>
      </w:r>
      <w:r w:rsidR="003B07BB" w:rsidRPr="003B07BB">
        <w:rPr>
          <w:rFonts w:ascii="Georgia" w:hAnsi="Georgia" w:cs="Times New Roman"/>
          <w:sz w:val="24"/>
          <w:szCs w:val="24"/>
        </w:rPr>
        <w:t>L'Oreal SA</w:t>
      </w:r>
      <w:r w:rsidR="003B07BB">
        <w:rPr>
          <w:rFonts w:ascii="Georgia" w:hAnsi="Georgia" w:cs="Times New Roman"/>
          <w:sz w:val="24"/>
          <w:szCs w:val="24"/>
        </w:rPr>
        <w:t xml:space="preserve">, a </w:t>
      </w:r>
      <w:r w:rsidR="003B07BB" w:rsidRPr="003B07BB">
        <w:rPr>
          <w:rFonts w:ascii="Georgia" w:hAnsi="Georgia" w:cs="Times New Roman"/>
          <w:sz w:val="24"/>
          <w:szCs w:val="24"/>
        </w:rPr>
        <w:t>Tata Motors Ltd</w:t>
      </w:r>
      <w:r w:rsidR="003B07BB">
        <w:rPr>
          <w:rFonts w:ascii="Georgia" w:hAnsi="Georgia" w:cs="Times New Roman"/>
          <w:sz w:val="24"/>
          <w:szCs w:val="24"/>
        </w:rPr>
        <w:t xml:space="preserve">, a </w:t>
      </w:r>
      <w:r w:rsidR="003B07BB" w:rsidRPr="003B07BB">
        <w:rPr>
          <w:rFonts w:ascii="Georgia" w:hAnsi="Georgia" w:cs="Times New Roman"/>
          <w:sz w:val="24"/>
          <w:szCs w:val="24"/>
        </w:rPr>
        <w:t>UMB Financial Corp</w:t>
      </w:r>
      <w:r w:rsidR="003B07BB">
        <w:rPr>
          <w:rFonts w:ascii="Georgia" w:hAnsi="Georgia" w:cs="Times New Roman"/>
          <w:sz w:val="24"/>
          <w:szCs w:val="24"/>
        </w:rPr>
        <w:t xml:space="preserve"> és a </w:t>
      </w:r>
      <w:r w:rsidR="003B07BB" w:rsidRPr="003B07BB">
        <w:rPr>
          <w:rFonts w:ascii="Georgia" w:hAnsi="Georgia" w:cs="Times New Roman"/>
          <w:sz w:val="24"/>
          <w:szCs w:val="24"/>
        </w:rPr>
        <w:t>Koninklijke Ahold Delhaize NV</w:t>
      </w:r>
      <w:r w:rsidR="003B07BB">
        <w:rPr>
          <w:rFonts w:ascii="Georgia" w:hAnsi="Georgia" w:cs="Times New Roman"/>
          <w:sz w:val="24"/>
          <w:szCs w:val="24"/>
        </w:rPr>
        <w:t>, melyek eszközei több, mint 40 milliárd dollárt mutattak 2021 végén. Mivel kutatás</w:t>
      </w:r>
      <w:r w:rsidR="00FE54A6">
        <w:rPr>
          <w:rFonts w:ascii="Georgia" w:hAnsi="Georgia" w:cs="Times New Roman"/>
          <w:sz w:val="24"/>
          <w:szCs w:val="24"/>
        </w:rPr>
        <w:t>unk</w:t>
      </w:r>
      <w:r w:rsidR="003B07BB">
        <w:rPr>
          <w:rFonts w:ascii="Georgia" w:hAnsi="Georgia" w:cs="Times New Roman"/>
          <w:sz w:val="24"/>
          <w:szCs w:val="24"/>
        </w:rPr>
        <w:t xml:space="preserve"> során arra is kíváncsi</w:t>
      </w:r>
      <w:r w:rsidR="00FE54A6">
        <w:rPr>
          <w:rFonts w:ascii="Georgia" w:hAnsi="Georgia" w:cs="Times New Roman"/>
          <w:sz w:val="24"/>
          <w:szCs w:val="24"/>
        </w:rPr>
        <w:t>ak</w:t>
      </w:r>
      <w:r w:rsidR="003B07BB">
        <w:rPr>
          <w:rFonts w:ascii="Georgia" w:hAnsi="Georgia" w:cs="Times New Roman"/>
          <w:sz w:val="24"/>
          <w:szCs w:val="24"/>
        </w:rPr>
        <w:t xml:space="preserve"> v</w:t>
      </w:r>
      <w:r w:rsidR="00FE54A6">
        <w:rPr>
          <w:rFonts w:ascii="Georgia" w:hAnsi="Georgia" w:cs="Times New Roman"/>
          <w:sz w:val="24"/>
          <w:szCs w:val="24"/>
        </w:rPr>
        <w:t>oltun</w:t>
      </w:r>
      <w:r w:rsidR="003B07BB">
        <w:rPr>
          <w:rFonts w:ascii="Georgia" w:hAnsi="Georgia" w:cs="Times New Roman"/>
          <w:sz w:val="24"/>
          <w:szCs w:val="24"/>
        </w:rPr>
        <w:t xml:space="preserve">k, hogy a vállalatok mérete és a kikalkulált ESG pontok között milyen kapcsolat húzódik, ezért kifejezetten előnyös, hogy a mintába a közepes méretű vállalatok mellett néhány nagyvállalat is bekerült. </w:t>
      </w:r>
    </w:p>
    <w:p w14:paraId="344B5A41" w14:textId="194163D4" w:rsidR="005B6C8E" w:rsidRPr="00762212" w:rsidRDefault="005B6C8E" w:rsidP="00FF7AC9">
      <w:pPr>
        <w:pStyle w:val="Listaszerbekezds"/>
        <w:numPr>
          <w:ilvl w:val="0"/>
          <w:numId w:val="5"/>
        </w:numPr>
        <w:spacing w:line="360" w:lineRule="auto"/>
        <w:jc w:val="center"/>
        <w:rPr>
          <w:rFonts w:ascii="Georgia" w:hAnsi="Georgia" w:cs="Times New Roman"/>
          <w:i/>
          <w:iCs/>
          <w:sz w:val="20"/>
          <w:szCs w:val="20"/>
        </w:rPr>
      </w:pPr>
      <w:r w:rsidRPr="00762212">
        <w:rPr>
          <w:rFonts w:ascii="Georgia" w:hAnsi="Georgia" w:cs="Times New Roman"/>
          <w:b/>
          <w:bCs/>
          <w:i/>
          <w:iCs/>
          <w:sz w:val="20"/>
          <w:szCs w:val="20"/>
        </w:rPr>
        <w:t>táblázat</w:t>
      </w:r>
      <w:r w:rsidRPr="00762212">
        <w:rPr>
          <w:rFonts w:ascii="Georgia" w:hAnsi="Georgia" w:cs="Times New Roman"/>
          <w:i/>
          <w:iCs/>
          <w:sz w:val="20"/>
          <w:szCs w:val="20"/>
        </w:rPr>
        <w:t>: A vállalatok számának megoszlása eszközeik értéke alapján</w:t>
      </w:r>
    </w:p>
    <w:p w14:paraId="49D23DB0" w14:textId="77777777" w:rsidR="005B6C8E" w:rsidRPr="00762212" w:rsidRDefault="005B6C8E" w:rsidP="005B6C8E">
      <w:pPr>
        <w:pStyle w:val="Listaszerbekezds"/>
        <w:spacing w:line="360" w:lineRule="auto"/>
        <w:jc w:val="center"/>
        <w:rPr>
          <w:rFonts w:ascii="Georgia" w:hAnsi="Georgia" w:cs="Times New Roman"/>
          <w:i/>
          <w:iCs/>
          <w:sz w:val="20"/>
          <w:szCs w:val="20"/>
        </w:rPr>
      </w:pPr>
      <w:r w:rsidRPr="00762212">
        <w:rPr>
          <w:rFonts w:ascii="Georgia" w:hAnsi="Georgia" w:cs="Times New Roman"/>
          <w:i/>
          <w:iCs/>
          <w:sz w:val="20"/>
          <w:szCs w:val="20"/>
        </w:rPr>
        <w:t>Forrás: saját szerkesztés</w:t>
      </w:r>
    </w:p>
    <w:p w14:paraId="01AA3B5E" w14:textId="32F0FE53" w:rsidR="00BD6A44" w:rsidRDefault="00FF0C50" w:rsidP="005A1D91">
      <w:pPr>
        <w:spacing w:line="360" w:lineRule="auto"/>
        <w:ind w:firstLine="720"/>
        <w:jc w:val="both"/>
        <w:rPr>
          <w:rFonts w:ascii="Georgia" w:hAnsi="Georgia" w:cs="Times New Roman"/>
          <w:sz w:val="24"/>
          <w:szCs w:val="24"/>
        </w:rPr>
      </w:pPr>
      <w:r>
        <w:rPr>
          <w:rFonts w:ascii="Georgia" w:hAnsi="Georgia" w:cs="Times New Roman"/>
          <w:sz w:val="24"/>
          <w:szCs w:val="24"/>
        </w:rPr>
        <w:t>Kutatás</w:t>
      </w:r>
      <w:r w:rsidR="00FE54A6">
        <w:rPr>
          <w:rFonts w:ascii="Georgia" w:hAnsi="Georgia" w:cs="Times New Roman"/>
          <w:sz w:val="24"/>
          <w:szCs w:val="24"/>
        </w:rPr>
        <w:t xml:space="preserve">unk </w:t>
      </w:r>
      <w:r>
        <w:rPr>
          <w:rFonts w:ascii="Georgia" w:hAnsi="Georgia" w:cs="Times New Roman"/>
          <w:sz w:val="24"/>
          <w:szCs w:val="24"/>
        </w:rPr>
        <w:t xml:space="preserve">következő szakaszában a mintavételi eljárás eredményeként előállt mintában szereplő vállalatok ESG pontszámainak összegyűjtésére került sor. Ennek során a Refinitiv által közzétett pontszámokat egyszerűen a kiinduló adatbázisból szűrtem ki. A Bloomberg ESG pontszámait pedig a Bloomberg </w:t>
      </w:r>
      <w:r>
        <w:rPr>
          <w:rFonts w:ascii="Georgia" w:hAnsi="Georgia" w:cs="Times New Roman"/>
          <w:sz w:val="24"/>
          <w:szCs w:val="24"/>
        </w:rPr>
        <w:lastRenderedPageBreak/>
        <w:t xml:space="preserve">Terminal segítségével gyűjtöttem össze, oly módon, hogy a kiválasztott mintában szereplő vállalatok </w:t>
      </w:r>
      <w:r w:rsidR="00BD6A44">
        <w:rPr>
          <w:rFonts w:ascii="Georgia" w:hAnsi="Georgia" w:cs="Times New Roman"/>
          <w:sz w:val="24"/>
          <w:szCs w:val="24"/>
        </w:rPr>
        <w:t>2021.12.31-re vonatkozó ESG adatait töltöttem le.</w:t>
      </w:r>
    </w:p>
    <w:p w14:paraId="18A1DC1C" w14:textId="2F17393C" w:rsidR="000423CB" w:rsidRPr="009572DA" w:rsidRDefault="00BD6A44" w:rsidP="00B27201">
      <w:pPr>
        <w:spacing w:line="360" w:lineRule="auto"/>
        <w:ind w:firstLine="720"/>
        <w:jc w:val="both"/>
        <w:rPr>
          <w:rFonts w:ascii="Georgia" w:hAnsi="Georgia" w:cs="Times New Roman"/>
          <w:sz w:val="24"/>
          <w:szCs w:val="24"/>
        </w:rPr>
      </w:pPr>
      <w:r>
        <w:rPr>
          <w:rFonts w:ascii="Georgia" w:hAnsi="Georgia" w:cs="Times New Roman"/>
          <w:sz w:val="24"/>
          <w:szCs w:val="24"/>
        </w:rPr>
        <w:t>Ezt követően kutatás</w:t>
      </w:r>
      <w:r w:rsidR="00FE54A6">
        <w:rPr>
          <w:rFonts w:ascii="Georgia" w:hAnsi="Georgia" w:cs="Times New Roman"/>
          <w:sz w:val="24"/>
          <w:szCs w:val="24"/>
        </w:rPr>
        <w:t>unk</w:t>
      </w:r>
      <w:r>
        <w:rPr>
          <w:rFonts w:ascii="Georgia" w:hAnsi="Georgia" w:cs="Times New Roman"/>
          <w:sz w:val="24"/>
          <w:szCs w:val="24"/>
        </w:rPr>
        <w:t xml:space="preserve"> három további ESG minősítést végző társaság, a S&amp;P, a Sustainalytics és az MSCI pontszámainak összehasonlítására is kiterjesztett</w:t>
      </w:r>
      <w:r w:rsidR="00FE54A6">
        <w:rPr>
          <w:rFonts w:ascii="Georgia" w:hAnsi="Georgia" w:cs="Times New Roman"/>
          <w:sz w:val="24"/>
          <w:szCs w:val="24"/>
        </w:rPr>
        <w:t>ük</w:t>
      </w:r>
      <w:r>
        <w:rPr>
          <w:rFonts w:ascii="Georgia" w:hAnsi="Georgia" w:cs="Times New Roman"/>
          <w:sz w:val="24"/>
          <w:szCs w:val="24"/>
        </w:rPr>
        <w:t>. Ebben az esetben a szükséges ESG információkat csupán a minősítő társaságok hivatalos weboldalán található kereső segítségével tudt</w:t>
      </w:r>
      <w:r w:rsidR="00FE54A6">
        <w:rPr>
          <w:rFonts w:ascii="Georgia" w:hAnsi="Georgia" w:cs="Times New Roman"/>
          <w:sz w:val="24"/>
          <w:szCs w:val="24"/>
        </w:rPr>
        <w:t>uk</w:t>
      </w:r>
      <w:r>
        <w:rPr>
          <w:rFonts w:ascii="Georgia" w:hAnsi="Georgia" w:cs="Times New Roman"/>
          <w:sz w:val="24"/>
          <w:szCs w:val="24"/>
        </w:rPr>
        <w:t xml:space="preserve"> egyesével lekérni. Ez a keresés azonban sok esetben nem vezetett eredményre, vagy egyszerűen előfizetéshez kötötték a vonatkozó ESG pontszámok elérését. Összességében azonban az eredeti 40 elemű mintából 20 társaságra vonatkozóan sikerült összegyűjteni az ESG pontszámokat. </w:t>
      </w:r>
      <w:r w:rsidR="00840050" w:rsidRPr="00E470BA">
        <w:rPr>
          <w:rFonts w:ascii="Georgia" w:hAnsi="Georgia" w:cs="Times New Roman"/>
          <w:sz w:val="24"/>
          <w:szCs w:val="24"/>
        </w:rPr>
        <w:t>A</w:t>
      </w:r>
      <w:r w:rsidR="00E470BA" w:rsidRPr="00E470BA">
        <w:rPr>
          <w:rFonts w:ascii="Georgia" w:hAnsi="Georgia" w:cs="Times New Roman"/>
          <w:sz w:val="24"/>
          <w:szCs w:val="24"/>
        </w:rPr>
        <w:t>z 1. számú</w:t>
      </w:r>
      <w:r w:rsidR="00B074AF" w:rsidRPr="00E470BA">
        <w:rPr>
          <w:rFonts w:ascii="Georgia" w:hAnsi="Georgia" w:cs="Times New Roman"/>
          <w:sz w:val="24"/>
          <w:szCs w:val="24"/>
        </w:rPr>
        <w:t xml:space="preserve"> mellék</w:t>
      </w:r>
      <w:r w:rsidR="002A0634" w:rsidRPr="00E470BA">
        <w:rPr>
          <w:rFonts w:ascii="Georgia" w:hAnsi="Georgia" w:cs="Times New Roman"/>
          <w:sz w:val="24"/>
          <w:szCs w:val="24"/>
        </w:rPr>
        <w:t>l</w:t>
      </w:r>
      <w:r w:rsidR="00B074AF" w:rsidRPr="00E470BA">
        <w:rPr>
          <w:rFonts w:ascii="Georgia" w:hAnsi="Georgia" w:cs="Times New Roman"/>
          <w:sz w:val="24"/>
          <w:szCs w:val="24"/>
        </w:rPr>
        <w:t>etben</w:t>
      </w:r>
      <w:r w:rsidR="00840050" w:rsidRPr="00E470BA">
        <w:rPr>
          <w:rFonts w:ascii="Georgia" w:hAnsi="Georgia" w:cs="Times New Roman"/>
          <w:sz w:val="24"/>
          <w:szCs w:val="24"/>
        </w:rPr>
        <w:t xml:space="preserve"> * jelöli azokat a vállalatokat, amelyek részét képezik a 20 elemű mintának is.</w:t>
      </w:r>
      <w:r w:rsidR="00840050">
        <w:rPr>
          <w:rFonts w:ascii="Georgia" w:hAnsi="Georgia" w:cs="Times New Roman"/>
          <w:sz w:val="24"/>
          <w:szCs w:val="24"/>
        </w:rPr>
        <w:t xml:space="preserve"> </w:t>
      </w:r>
    </w:p>
    <w:p w14:paraId="13CB94CD" w14:textId="6EA4D530" w:rsidR="00672B57" w:rsidRPr="00480C87" w:rsidRDefault="00672B57" w:rsidP="00B27201">
      <w:pPr>
        <w:pStyle w:val="Cmsor3"/>
        <w:numPr>
          <w:ilvl w:val="3"/>
          <w:numId w:val="1"/>
        </w:numPr>
        <w:spacing w:line="360" w:lineRule="auto"/>
        <w:rPr>
          <w:rFonts w:ascii="Georgia" w:hAnsi="Georgia" w:cs="Times New Roman"/>
          <w:b/>
          <w:bCs/>
          <w:color w:val="auto"/>
        </w:rPr>
      </w:pPr>
      <w:bookmarkStart w:id="51" w:name="_Toc119421191"/>
      <w:r w:rsidRPr="00480C87">
        <w:rPr>
          <w:rFonts w:ascii="Georgia" w:hAnsi="Georgia" w:cs="Times New Roman"/>
          <w:b/>
          <w:bCs/>
          <w:color w:val="auto"/>
        </w:rPr>
        <w:t>Az adatok elemzésének módja</w:t>
      </w:r>
      <w:bookmarkEnd w:id="51"/>
    </w:p>
    <w:tbl>
      <w:tblPr>
        <w:tblStyle w:val="Rcsostblzat"/>
        <w:tblpPr w:leftFromText="141" w:rightFromText="141" w:vertAnchor="text" w:horzAnchor="margin" w:tblpXSpec="center" w:tblpY="2441"/>
        <w:tblW w:w="0" w:type="auto"/>
        <w:tblLook w:val="04A0" w:firstRow="1" w:lastRow="0" w:firstColumn="1" w:lastColumn="0" w:noHBand="0" w:noVBand="1"/>
      </w:tblPr>
      <w:tblGrid>
        <w:gridCol w:w="2394"/>
        <w:gridCol w:w="5118"/>
      </w:tblGrid>
      <w:tr w:rsidR="00762212" w:rsidRPr="007E723C" w14:paraId="2D9113C8" w14:textId="77777777" w:rsidTr="00762212">
        <w:trPr>
          <w:trHeight w:val="85"/>
        </w:trPr>
        <w:tc>
          <w:tcPr>
            <w:tcW w:w="2394" w:type="dxa"/>
            <w:shd w:val="clear" w:color="auto" w:fill="1F3864" w:themeFill="accent1" w:themeFillShade="80"/>
          </w:tcPr>
          <w:p w14:paraId="707D2ED4" w14:textId="77777777" w:rsidR="00762212" w:rsidRPr="007E723C" w:rsidRDefault="00762212" w:rsidP="00762212">
            <w:pPr>
              <w:spacing w:line="360" w:lineRule="auto"/>
              <w:jc w:val="center"/>
              <w:rPr>
                <w:rFonts w:ascii="Georgia" w:hAnsi="Georgia" w:cs="Times New Roman"/>
                <w:b/>
                <w:bCs/>
                <w:sz w:val="20"/>
                <w:szCs w:val="20"/>
              </w:rPr>
            </w:pPr>
            <w:r w:rsidRPr="007E723C">
              <w:rPr>
                <w:rFonts w:ascii="Georgia" w:hAnsi="Georgia" w:cs="Times New Roman"/>
                <w:b/>
                <w:bCs/>
                <w:sz w:val="20"/>
                <w:szCs w:val="20"/>
              </w:rPr>
              <w:t>„r” értéke</w:t>
            </w:r>
          </w:p>
        </w:tc>
        <w:tc>
          <w:tcPr>
            <w:tcW w:w="5118" w:type="dxa"/>
            <w:shd w:val="clear" w:color="auto" w:fill="1F3864" w:themeFill="accent1" w:themeFillShade="80"/>
          </w:tcPr>
          <w:p w14:paraId="0D7A72C1" w14:textId="77777777" w:rsidR="00762212" w:rsidRPr="007E723C" w:rsidRDefault="00762212" w:rsidP="00762212">
            <w:pPr>
              <w:spacing w:line="360" w:lineRule="auto"/>
              <w:jc w:val="center"/>
              <w:rPr>
                <w:rFonts w:ascii="Georgia" w:hAnsi="Georgia" w:cs="Times New Roman"/>
                <w:b/>
                <w:bCs/>
                <w:sz w:val="20"/>
                <w:szCs w:val="20"/>
              </w:rPr>
            </w:pPr>
            <w:r w:rsidRPr="007E723C">
              <w:rPr>
                <w:rFonts w:ascii="Georgia" w:hAnsi="Georgia" w:cs="Times New Roman"/>
                <w:b/>
                <w:bCs/>
                <w:sz w:val="20"/>
                <w:szCs w:val="20"/>
              </w:rPr>
              <w:t>A kapcsolat iránya és erőssége</w:t>
            </w:r>
          </w:p>
        </w:tc>
      </w:tr>
      <w:tr w:rsidR="00762212" w:rsidRPr="007E723C" w14:paraId="457FFF20" w14:textId="77777777" w:rsidTr="00762212">
        <w:trPr>
          <w:trHeight w:val="85"/>
        </w:trPr>
        <w:tc>
          <w:tcPr>
            <w:tcW w:w="2394" w:type="dxa"/>
          </w:tcPr>
          <w:p w14:paraId="31B0A5F1"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r=1</m:t>
                </m:r>
              </m:oMath>
            </m:oMathPara>
          </w:p>
        </w:tc>
        <w:tc>
          <w:tcPr>
            <w:tcW w:w="5118" w:type="dxa"/>
          </w:tcPr>
          <w:p w14:paraId="60DAD090"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Tökéletes pozitív kapcsolat</w:t>
            </w:r>
          </w:p>
        </w:tc>
      </w:tr>
      <w:tr w:rsidR="00762212" w:rsidRPr="007E723C" w14:paraId="2940BD00" w14:textId="77777777" w:rsidTr="00762212">
        <w:trPr>
          <w:trHeight w:val="85"/>
        </w:trPr>
        <w:tc>
          <w:tcPr>
            <w:tcW w:w="2394" w:type="dxa"/>
          </w:tcPr>
          <w:p w14:paraId="5A6B4E28"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0,7≤r&lt;1</m:t>
                </m:r>
              </m:oMath>
            </m:oMathPara>
          </w:p>
        </w:tc>
        <w:tc>
          <w:tcPr>
            <w:tcW w:w="5118" w:type="dxa"/>
          </w:tcPr>
          <w:p w14:paraId="61A24512"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Erős pozitív kapcsolt</w:t>
            </w:r>
          </w:p>
        </w:tc>
      </w:tr>
      <w:tr w:rsidR="00762212" w:rsidRPr="007E723C" w14:paraId="52234C10" w14:textId="77777777" w:rsidTr="00762212">
        <w:trPr>
          <w:trHeight w:val="85"/>
        </w:trPr>
        <w:tc>
          <w:tcPr>
            <w:tcW w:w="2394" w:type="dxa"/>
          </w:tcPr>
          <w:p w14:paraId="339F6D56"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0,2≤r&lt;0,7</m:t>
                </m:r>
              </m:oMath>
            </m:oMathPara>
          </w:p>
        </w:tc>
        <w:tc>
          <w:tcPr>
            <w:tcW w:w="5118" w:type="dxa"/>
          </w:tcPr>
          <w:p w14:paraId="063248E6"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Közepes pozitív kapcsolat</w:t>
            </w:r>
          </w:p>
        </w:tc>
      </w:tr>
      <w:tr w:rsidR="00762212" w:rsidRPr="007E723C" w14:paraId="269AF7E7" w14:textId="77777777" w:rsidTr="00762212">
        <w:trPr>
          <w:trHeight w:val="85"/>
        </w:trPr>
        <w:tc>
          <w:tcPr>
            <w:tcW w:w="2394" w:type="dxa"/>
          </w:tcPr>
          <w:p w14:paraId="2F29D79B"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0&lt;r&lt;0,2</m:t>
                </m:r>
              </m:oMath>
            </m:oMathPara>
          </w:p>
        </w:tc>
        <w:tc>
          <w:tcPr>
            <w:tcW w:w="5118" w:type="dxa"/>
          </w:tcPr>
          <w:p w14:paraId="73412E52"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Gyenge pozitív kapcsolat</w:t>
            </w:r>
          </w:p>
        </w:tc>
      </w:tr>
      <w:tr w:rsidR="00762212" w:rsidRPr="007E723C" w14:paraId="1FA13F8E" w14:textId="77777777" w:rsidTr="00762212">
        <w:trPr>
          <w:trHeight w:val="85"/>
        </w:trPr>
        <w:tc>
          <w:tcPr>
            <w:tcW w:w="2394" w:type="dxa"/>
          </w:tcPr>
          <w:p w14:paraId="222512FD"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r=0</m:t>
                </m:r>
              </m:oMath>
            </m:oMathPara>
          </w:p>
        </w:tc>
        <w:tc>
          <w:tcPr>
            <w:tcW w:w="5118" w:type="dxa"/>
          </w:tcPr>
          <w:p w14:paraId="035644FD"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Nincs lineáris kapcsolat</w:t>
            </w:r>
          </w:p>
        </w:tc>
      </w:tr>
      <w:tr w:rsidR="00762212" w:rsidRPr="007E723C" w14:paraId="238F9A47" w14:textId="77777777" w:rsidTr="00762212">
        <w:trPr>
          <w:trHeight w:val="85"/>
        </w:trPr>
        <w:tc>
          <w:tcPr>
            <w:tcW w:w="2394" w:type="dxa"/>
          </w:tcPr>
          <w:p w14:paraId="080FF36C"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-0,2&lt;r&lt;0</m:t>
                </m:r>
              </m:oMath>
            </m:oMathPara>
          </w:p>
        </w:tc>
        <w:tc>
          <w:tcPr>
            <w:tcW w:w="5118" w:type="dxa"/>
          </w:tcPr>
          <w:p w14:paraId="66FA18A0"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Gyenge negatív kapcsolat</w:t>
            </w:r>
          </w:p>
        </w:tc>
      </w:tr>
      <w:tr w:rsidR="00762212" w:rsidRPr="007E723C" w14:paraId="13D8C628" w14:textId="77777777" w:rsidTr="00762212">
        <w:trPr>
          <w:trHeight w:val="85"/>
        </w:trPr>
        <w:tc>
          <w:tcPr>
            <w:tcW w:w="2394" w:type="dxa"/>
          </w:tcPr>
          <w:p w14:paraId="571E5BB3"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-0,7&lt;r≤-0,2</m:t>
                </m:r>
              </m:oMath>
            </m:oMathPara>
          </w:p>
        </w:tc>
        <w:tc>
          <w:tcPr>
            <w:tcW w:w="5118" w:type="dxa"/>
          </w:tcPr>
          <w:p w14:paraId="42B0CDED"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Közepes negatív kapcsolat</w:t>
            </w:r>
          </w:p>
        </w:tc>
      </w:tr>
      <w:tr w:rsidR="00762212" w:rsidRPr="007E723C" w14:paraId="265EC0F2" w14:textId="77777777" w:rsidTr="00762212">
        <w:trPr>
          <w:trHeight w:val="85"/>
        </w:trPr>
        <w:tc>
          <w:tcPr>
            <w:tcW w:w="2394" w:type="dxa"/>
          </w:tcPr>
          <w:p w14:paraId="7E36A3D3"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-1&lt;r≤-0,7</m:t>
                </m:r>
              </m:oMath>
            </m:oMathPara>
          </w:p>
        </w:tc>
        <w:tc>
          <w:tcPr>
            <w:tcW w:w="5118" w:type="dxa"/>
          </w:tcPr>
          <w:p w14:paraId="1137D7CE"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Erős negatív kapcsolat</w:t>
            </w:r>
          </w:p>
        </w:tc>
      </w:tr>
      <w:tr w:rsidR="00762212" w:rsidRPr="007E723C" w14:paraId="0677334B" w14:textId="77777777" w:rsidTr="00762212">
        <w:trPr>
          <w:trHeight w:val="85"/>
        </w:trPr>
        <w:tc>
          <w:tcPr>
            <w:tcW w:w="2394" w:type="dxa"/>
          </w:tcPr>
          <w:p w14:paraId="1C1CC5DA" w14:textId="77777777" w:rsidR="00762212" w:rsidRPr="007E723C" w:rsidRDefault="00762212" w:rsidP="00762212">
            <w:pPr>
              <w:spacing w:line="360" w:lineRule="auto"/>
              <w:jc w:val="center"/>
              <w:rPr>
                <w:rFonts w:ascii="Georgia" w:hAnsi="Georgia" w:cs="Times New Roman"/>
                <w:sz w:val="20"/>
                <w:szCs w:val="20"/>
              </w:rPr>
            </w:pPr>
            <m:oMathPara>
              <m:oMath>
                <m:r>
                  <w:rPr>
                    <w:rFonts w:ascii="Cambria Math" w:hAnsi="Cambria Math" w:cs="Times New Roman"/>
                    <w:sz w:val="20"/>
                    <w:szCs w:val="20"/>
                  </w:rPr>
                  <m:t>r=-1</m:t>
                </m:r>
              </m:oMath>
            </m:oMathPara>
          </w:p>
        </w:tc>
        <w:tc>
          <w:tcPr>
            <w:tcW w:w="5118" w:type="dxa"/>
          </w:tcPr>
          <w:p w14:paraId="16DF100B" w14:textId="77777777" w:rsidR="00762212" w:rsidRPr="007E723C" w:rsidRDefault="00762212" w:rsidP="00762212">
            <w:pPr>
              <w:spacing w:line="360" w:lineRule="auto"/>
              <w:jc w:val="center"/>
              <w:rPr>
                <w:rFonts w:ascii="Georgia" w:hAnsi="Georgia" w:cs="Times New Roman"/>
                <w:sz w:val="20"/>
                <w:szCs w:val="20"/>
              </w:rPr>
            </w:pPr>
            <w:r w:rsidRPr="007E723C">
              <w:rPr>
                <w:rFonts w:ascii="Georgia" w:hAnsi="Georgia" w:cs="Times New Roman"/>
                <w:sz w:val="20"/>
                <w:szCs w:val="20"/>
              </w:rPr>
              <w:t>Tökéletes negatív kapcsolat</w:t>
            </w:r>
          </w:p>
        </w:tc>
      </w:tr>
    </w:tbl>
    <w:p w14:paraId="07A9CBF2" w14:textId="1609DAB1" w:rsidR="00672B57" w:rsidRPr="007E723C" w:rsidRDefault="009D525F" w:rsidP="009D525F">
      <w:pPr>
        <w:spacing w:line="360" w:lineRule="auto"/>
        <w:ind w:firstLine="709"/>
        <w:jc w:val="both"/>
        <w:rPr>
          <w:rFonts w:ascii="Georgia" w:hAnsi="Georgia" w:cs="Times New Roman"/>
          <w:sz w:val="24"/>
          <w:szCs w:val="24"/>
        </w:rPr>
      </w:pPr>
      <w:r w:rsidRPr="007E723C">
        <w:rPr>
          <w:rFonts w:ascii="Georgia" w:hAnsi="Georgia" w:cs="Times New Roman"/>
          <w:sz w:val="24"/>
          <w:szCs w:val="24"/>
        </w:rPr>
        <w:t>Most, miután általánosságban véve bemutatásra kerültek a vizsgálni kívánt minta jellemzői, érdemes kitérni az ESG pontszámok elemzése során alkalmazott módszertanra is. Ahhoz, hogy feltárjam az egyes ESG minősítést végző társaságok által közzétett pontszámok megbízhatóságát, a kiválasztott 40 elemű mintán korrelációs vizsgálatot végeztem az IBM SPSS Statistics 27 program segítségével.</w:t>
      </w:r>
    </w:p>
    <w:p w14:paraId="5717C90D" w14:textId="77777777" w:rsidR="00762212" w:rsidRPr="00762212" w:rsidRDefault="00762212" w:rsidP="00FF7AC9">
      <w:pPr>
        <w:pStyle w:val="Listaszerbekezds"/>
        <w:numPr>
          <w:ilvl w:val="0"/>
          <w:numId w:val="5"/>
        </w:numPr>
        <w:spacing w:line="360" w:lineRule="auto"/>
        <w:jc w:val="center"/>
        <w:rPr>
          <w:rFonts w:ascii="Georgia" w:hAnsi="Georgia" w:cs="Times New Roman"/>
          <w:i/>
          <w:iCs/>
          <w:sz w:val="20"/>
          <w:szCs w:val="20"/>
        </w:rPr>
      </w:pPr>
      <w:r w:rsidRPr="00762212">
        <w:rPr>
          <w:rFonts w:ascii="Georgia" w:hAnsi="Georgia" w:cs="Times New Roman"/>
          <w:b/>
          <w:bCs/>
          <w:i/>
          <w:iCs/>
          <w:sz w:val="20"/>
          <w:szCs w:val="20"/>
        </w:rPr>
        <w:t>táblázat</w:t>
      </w:r>
      <w:r w:rsidRPr="00762212">
        <w:rPr>
          <w:rFonts w:ascii="Georgia" w:hAnsi="Georgia" w:cs="Times New Roman"/>
          <w:b/>
          <w:bCs/>
          <w:sz w:val="20"/>
          <w:szCs w:val="20"/>
        </w:rPr>
        <w:t>:</w:t>
      </w:r>
      <w:r w:rsidRPr="00762212">
        <w:rPr>
          <w:rFonts w:ascii="Georgia" w:hAnsi="Georgia" w:cs="Times New Roman"/>
          <w:sz w:val="20"/>
          <w:szCs w:val="20"/>
        </w:rPr>
        <w:t xml:space="preserve"> </w:t>
      </w:r>
      <w:r w:rsidRPr="00762212">
        <w:rPr>
          <w:rFonts w:ascii="Georgia" w:hAnsi="Georgia" w:cs="Times New Roman"/>
          <w:i/>
          <w:iCs/>
          <w:sz w:val="20"/>
          <w:szCs w:val="20"/>
        </w:rPr>
        <w:t>A korrelációs együttható lehetséges értékei és azok értelmezése</w:t>
      </w:r>
    </w:p>
    <w:p w14:paraId="4688E6B1" w14:textId="77777777" w:rsidR="00762212" w:rsidRPr="00762212" w:rsidRDefault="00762212" w:rsidP="00762212">
      <w:pPr>
        <w:pStyle w:val="Listaszerbekezds"/>
        <w:spacing w:after="240" w:line="360" w:lineRule="auto"/>
        <w:jc w:val="center"/>
        <w:rPr>
          <w:rFonts w:ascii="Georgia" w:hAnsi="Georgia" w:cs="Times New Roman"/>
          <w:sz w:val="20"/>
          <w:szCs w:val="20"/>
        </w:rPr>
      </w:pPr>
      <w:r w:rsidRPr="00762212">
        <w:rPr>
          <w:rFonts w:ascii="Georgia" w:hAnsi="Georgia" w:cs="Times New Roman"/>
          <w:i/>
          <w:iCs/>
          <w:sz w:val="20"/>
          <w:szCs w:val="20"/>
        </w:rPr>
        <w:t>Forrás: saját szerkesztés, Sajtos-Mitev (2007) alapján</w:t>
      </w:r>
    </w:p>
    <w:p w14:paraId="30CEB1C2" w14:textId="7644976E" w:rsidR="00F144FA" w:rsidRDefault="009D525F" w:rsidP="00762212">
      <w:pPr>
        <w:spacing w:line="360" w:lineRule="auto"/>
        <w:ind w:firstLine="709"/>
        <w:jc w:val="both"/>
        <w:rPr>
          <w:rFonts w:ascii="Georgia" w:hAnsi="Georgia" w:cs="Times New Roman"/>
          <w:sz w:val="24"/>
          <w:szCs w:val="24"/>
        </w:rPr>
      </w:pPr>
      <w:r w:rsidRPr="007E723C">
        <w:rPr>
          <w:rFonts w:ascii="Georgia" w:hAnsi="Georgia" w:cs="Times New Roman"/>
          <w:sz w:val="24"/>
          <w:szCs w:val="24"/>
        </w:rPr>
        <w:t>A korrelációszámítás lehetővé teszi, hogy az egyes vizsgált változók között</w:t>
      </w:r>
      <w:r w:rsidR="00A8610E" w:rsidRPr="007E723C">
        <w:rPr>
          <w:rFonts w:ascii="Georgia" w:hAnsi="Georgia" w:cs="Times New Roman"/>
          <w:sz w:val="24"/>
          <w:szCs w:val="24"/>
        </w:rPr>
        <w:t xml:space="preserve">i lineáris kapcsolat szorosságát és irányát a Pearson-féle együttható (jele: r) segítségével leírjuk. Az „r” -1 és +1 közötti értékei egyszerre mutatják a két változó közötti kapcsolat szorosságát és irányát. Minél nagyobb tehát az együttható </w:t>
      </w:r>
      <w:r w:rsidR="00A8610E" w:rsidRPr="007E723C">
        <w:rPr>
          <w:rFonts w:ascii="Georgia" w:hAnsi="Georgia" w:cs="Times New Roman"/>
          <w:sz w:val="24"/>
          <w:szCs w:val="24"/>
        </w:rPr>
        <w:lastRenderedPageBreak/>
        <w:t xml:space="preserve">abszolút értéke, annál erősebb kapcsolat </w:t>
      </w:r>
      <w:r w:rsidR="006D4149" w:rsidRPr="007E723C">
        <w:rPr>
          <w:rFonts w:ascii="Georgia" w:hAnsi="Georgia" w:cs="Times New Roman"/>
          <w:sz w:val="24"/>
          <w:szCs w:val="24"/>
        </w:rPr>
        <w:t>van a két vizsgált változó között. Ha pedig az r = 0, akkor kijelenthető, hogy a változók nem korrelálnak, vagyis nincs közöttük lineáris kapcsolat</w:t>
      </w:r>
      <w:r w:rsidR="00271D25">
        <w:rPr>
          <w:rFonts w:ascii="Georgia" w:hAnsi="Georgia" w:cs="Times New Roman"/>
          <w:sz w:val="24"/>
          <w:szCs w:val="24"/>
        </w:rPr>
        <w:t xml:space="preserve"> </w:t>
      </w:r>
      <w:r w:rsidR="00271D25">
        <w:rPr>
          <w:rFonts w:ascii="Georgia" w:hAnsi="Georgia" w:cs="Times New Roman"/>
          <w:sz w:val="24"/>
          <w:szCs w:val="24"/>
        </w:rPr>
        <w:fldChar w:fldCharType="begin"/>
      </w:r>
      <w:r w:rsidR="00271D25">
        <w:rPr>
          <w:rFonts w:ascii="Georgia" w:hAnsi="Georgia" w:cs="Times New Roman"/>
          <w:sz w:val="24"/>
          <w:szCs w:val="24"/>
        </w:rPr>
        <w:instrText xml:space="preserve"> ADDIN ZOTERO_ITEM CSL_CITATION {"citationID":"ZU6G07zp","properties":{"formattedCitation":"(Sajtos L\\uc0\\u225{}szl\\uc0\\u243{} &amp; Mitev Ariel, 2007)","plainCitation":"(Sajtos László &amp; Mitev Ariel, 2007)","noteIndex":0},"citationItems":[{"id":825,"uris":["http://zotero.org/users/9445126/items/7L7PHNCR"],"itemData":{"id":825,"type":"book","publisher":"Alinea Kiadó","title":"SPSS kutatási és adatelemzési kézikönyv","author":[{"literal":"Sajtos László"},{"literal":"Mitev Ariel"}],"issued":{"date-parts":[["2007"]]}}}],"schema":"https://github.com/citation-style-language/schema/raw/master/csl-citation.json"} </w:instrText>
      </w:r>
      <w:r w:rsidR="00271D25">
        <w:rPr>
          <w:rFonts w:ascii="Georgia" w:hAnsi="Georgia" w:cs="Times New Roman"/>
          <w:sz w:val="24"/>
          <w:szCs w:val="24"/>
        </w:rPr>
        <w:fldChar w:fldCharType="separate"/>
      </w:r>
      <w:r w:rsidR="00271D25" w:rsidRPr="00271D25">
        <w:rPr>
          <w:rFonts w:ascii="Georgia" w:hAnsi="Georgia" w:cs="Times New Roman"/>
          <w:sz w:val="24"/>
          <w:szCs w:val="24"/>
        </w:rPr>
        <w:t>(Sajtos László &amp; Mitev Ariel, 2007)</w:t>
      </w:r>
      <w:r w:rsidR="00271D25">
        <w:rPr>
          <w:rFonts w:ascii="Georgia" w:hAnsi="Georgia" w:cs="Times New Roman"/>
          <w:sz w:val="24"/>
          <w:szCs w:val="24"/>
        </w:rPr>
        <w:fldChar w:fldCharType="end"/>
      </w:r>
      <w:r w:rsidR="006D4149" w:rsidRPr="007E723C">
        <w:rPr>
          <w:rFonts w:ascii="Georgia" w:hAnsi="Georgia" w:cs="Times New Roman"/>
          <w:sz w:val="24"/>
          <w:szCs w:val="24"/>
        </w:rPr>
        <w:t xml:space="preserve">. A </w:t>
      </w:r>
      <w:r w:rsidR="008040E2">
        <w:rPr>
          <w:rFonts w:ascii="Georgia" w:hAnsi="Georgia" w:cs="Times New Roman"/>
          <w:sz w:val="24"/>
          <w:szCs w:val="24"/>
        </w:rPr>
        <w:t>fenti</w:t>
      </w:r>
      <w:r w:rsidR="006D4149" w:rsidRPr="007E723C">
        <w:rPr>
          <w:rFonts w:ascii="Georgia" w:hAnsi="Georgia" w:cs="Times New Roman"/>
          <w:sz w:val="24"/>
          <w:szCs w:val="24"/>
        </w:rPr>
        <w:t xml:space="preserve"> táblázat</w:t>
      </w:r>
      <w:r w:rsidR="008040E2">
        <w:rPr>
          <w:rFonts w:ascii="Georgia" w:hAnsi="Georgia" w:cs="Times New Roman"/>
          <w:sz w:val="24"/>
          <w:szCs w:val="24"/>
        </w:rPr>
        <w:t xml:space="preserve"> (11. táblázat)</w:t>
      </w:r>
      <w:r w:rsidR="006D4149" w:rsidRPr="007E723C">
        <w:rPr>
          <w:rFonts w:ascii="Georgia" w:hAnsi="Georgia" w:cs="Times New Roman"/>
          <w:sz w:val="24"/>
          <w:szCs w:val="24"/>
        </w:rPr>
        <w:t xml:space="preserve"> az „r” értékének megfelelő értelmezését segíti.</w:t>
      </w:r>
    </w:p>
    <w:p w14:paraId="13176C87" w14:textId="38EF4F12" w:rsidR="009D525F" w:rsidRDefault="00117BC5" w:rsidP="00117BC5">
      <w:pPr>
        <w:spacing w:line="360" w:lineRule="auto"/>
        <w:ind w:firstLine="709"/>
        <w:jc w:val="both"/>
        <w:rPr>
          <w:rFonts w:ascii="Georgia" w:hAnsi="Georgia" w:cs="Times New Roman"/>
          <w:sz w:val="24"/>
          <w:szCs w:val="24"/>
        </w:rPr>
      </w:pPr>
      <w:r>
        <w:rPr>
          <w:rFonts w:ascii="Georgia" w:hAnsi="Georgia" w:cs="Times New Roman"/>
          <w:sz w:val="24"/>
          <w:szCs w:val="24"/>
        </w:rPr>
        <w:t>K</w:t>
      </w:r>
      <w:r w:rsidR="00A8610E" w:rsidRPr="007E723C">
        <w:rPr>
          <w:rFonts w:ascii="Georgia" w:hAnsi="Georgia" w:cs="Times New Roman"/>
          <w:sz w:val="24"/>
          <w:szCs w:val="24"/>
        </w:rPr>
        <w:t>utatás</w:t>
      </w:r>
      <w:r w:rsidR="00FE54A6">
        <w:rPr>
          <w:rFonts w:ascii="Georgia" w:hAnsi="Georgia" w:cs="Times New Roman"/>
          <w:sz w:val="24"/>
          <w:szCs w:val="24"/>
        </w:rPr>
        <w:t>unk</w:t>
      </w:r>
      <w:r w:rsidR="00A8610E" w:rsidRPr="007E723C">
        <w:rPr>
          <w:rFonts w:ascii="Georgia" w:hAnsi="Georgia" w:cs="Times New Roman"/>
          <w:sz w:val="24"/>
          <w:szCs w:val="24"/>
        </w:rPr>
        <w:t xml:space="preserve"> szempontjából </w:t>
      </w:r>
      <w:r w:rsidR="00035E85" w:rsidRPr="007E723C">
        <w:rPr>
          <w:rFonts w:ascii="Georgia" w:hAnsi="Georgia" w:cs="Times New Roman"/>
          <w:sz w:val="24"/>
          <w:szCs w:val="24"/>
        </w:rPr>
        <w:t>a korrelációszámítás</w:t>
      </w:r>
      <w:r w:rsidR="00A8610E" w:rsidRPr="007E723C">
        <w:rPr>
          <w:rFonts w:ascii="Georgia" w:hAnsi="Georgia" w:cs="Times New Roman"/>
          <w:sz w:val="24"/>
          <w:szCs w:val="24"/>
        </w:rPr>
        <w:t xml:space="preserve"> azért egy megfelelő módszertan, mert ha az egyes minősítők ESG pontszámai között kellően szoros kapcsolat figyelhető meg, akkor tulajdonképpen kijelenthető, hogy a két különböző forrásból származó pontszám azonos jelenséget mér és ezáltal alkalmas arra, hogy segítségével a vállalatokat fenntarthatósági teljesítményük alapján összehasonlítsák. </w:t>
      </w:r>
    </w:p>
    <w:p w14:paraId="4BA16BB3" w14:textId="091FCC31" w:rsidR="00D1320A" w:rsidRDefault="005B0F74" w:rsidP="003022E8">
      <w:pPr>
        <w:spacing w:line="360" w:lineRule="auto"/>
        <w:ind w:firstLine="709"/>
        <w:jc w:val="both"/>
        <w:rPr>
          <w:rFonts w:ascii="Georgia" w:hAnsi="Georgia" w:cs="Times New Roman"/>
          <w:sz w:val="24"/>
          <w:szCs w:val="24"/>
        </w:rPr>
      </w:pPr>
      <w:r>
        <w:rPr>
          <w:rFonts w:ascii="Georgia" w:hAnsi="Georgia" w:cs="Times New Roman"/>
          <w:sz w:val="24"/>
          <w:szCs w:val="24"/>
        </w:rPr>
        <w:t>A konkrét kapcsolatvizsgálatok elvégzése előtt</w:t>
      </w:r>
      <w:r w:rsidR="005467BF">
        <w:rPr>
          <w:rFonts w:ascii="Georgia" w:hAnsi="Georgia" w:cs="Times New Roman"/>
          <w:sz w:val="24"/>
          <w:szCs w:val="24"/>
        </w:rPr>
        <w:t xml:space="preserve"> az SPSS segítségével feltártam azt</w:t>
      </w:r>
      <w:r w:rsidR="007F570E">
        <w:rPr>
          <w:rFonts w:ascii="Georgia" w:hAnsi="Georgia" w:cs="Times New Roman"/>
          <w:sz w:val="24"/>
          <w:szCs w:val="24"/>
        </w:rPr>
        <w:t xml:space="preserve"> is</w:t>
      </w:r>
      <w:r w:rsidR="005467BF">
        <w:rPr>
          <w:rFonts w:ascii="Georgia" w:hAnsi="Georgia" w:cs="Times New Roman"/>
          <w:sz w:val="24"/>
          <w:szCs w:val="24"/>
        </w:rPr>
        <w:t>, hogy az elemzésbe bevonni kívánt változók között található-e kiugró („outlier”) adat</w:t>
      </w:r>
      <w:r w:rsidR="00243A68">
        <w:rPr>
          <w:rFonts w:ascii="Georgia" w:hAnsi="Georgia" w:cs="Times New Roman"/>
          <w:sz w:val="24"/>
          <w:szCs w:val="24"/>
        </w:rPr>
        <w:t>.</w:t>
      </w:r>
      <w:r w:rsidR="001F03EF">
        <w:rPr>
          <w:rFonts w:ascii="Georgia" w:hAnsi="Georgia" w:cs="Times New Roman"/>
          <w:sz w:val="24"/>
          <w:szCs w:val="24"/>
        </w:rPr>
        <w:t xml:space="preserve"> </w:t>
      </w:r>
      <w:r w:rsidR="00243A68">
        <w:rPr>
          <w:rFonts w:ascii="Georgia" w:hAnsi="Georgia" w:cs="Times New Roman"/>
          <w:sz w:val="24"/>
          <w:szCs w:val="24"/>
        </w:rPr>
        <w:t xml:space="preserve">Ezeknek </w:t>
      </w:r>
      <w:r w:rsidR="001F03EF">
        <w:rPr>
          <w:rFonts w:ascii="Georgia" w:hAnsi="Georgia" w:cs="Times New Roman"/>
          <w:sz w:val="24"/>
          <w:szCs w:val="24"/>
        </w:rPr>
        <w:t>a jelenléte</w:t>
      </w:r>
      <w:r w:rsidR="00243A68">
        <w:rPr>
          <w:rFonts w:ascii="Georgia" w:hAnsi="Georgia" w:cs="Times New Roman"/>
          <w:sz w:val="24"/>
          <w:szCs w:val="24"/>
        </w:rPr>
        <w:t xml:space="preserve"> ugyanis</w:t>
      </w:r>
      <w:r w:rsidR="001F03EF">
        <w:rPr>
          <w:rFonts w:ascii="Georgia" w:hAnsi="Georgia" w:cs="Times New Roman"/>
          <w:sz w:val="24"/>
          <w:szCs w:val="24"/>
        </w:rPr>
        <w:t xml:space="preserve"> valamelyest torzíthatja az eredményeket, így a korrelációs vizsgálatok lefuttatása előtt érdemes mérlegelni az outlier adatok kizárását a mintából.</w:t>
      </w:r>
      <w:r w:rsidR="005467BF">
        <w:rPr>
          <w:rFonts w:ascii="Georgia" w:hAnsi="Georgia" w:cs="Times New Roman"/>
          <w:sz w:val="24"/>
          <w:szCs w:val="24"/>
        </w:rPr>
        <w:t xml:space="preserve"> </w:t>
      </w:r>
      <w:r w:rsidR="00A161BD">
        <w:rPr>
          <w:rFonts w:ascii="Georgia" w:hAnsi="Georgia" w:cs="Times New Roman"/>
          <w:sz w:val="24"/>
          <w:szCs w:val="24"/>
        </w:rPr>
        <w:t xml:space="preserve">Ennek </w:t>
      </w:r>
      <w:r w:rsidR="00243A68">
        <w:rPr>
          <w:rFonts w:ascii="Georgia" w:hAnsi="Georgia" w:cs="Times New Roman"/>
          <w:sz w:val="24"/>
          <w:szCs w:val="24"/>
        </w:rPr>
        <w:t xml:space="preserve">az elemzésnek az </w:t>
      </w:r>
      <w:r w:rsidR="00A161BD">
        <w:rPr>
          <w:rFonts w:ascii="Georgia" w:hAnsi="Georgia" w:cs="Times New Roman"/>
          <w:sz w:val="24"/>
          <w:szCs w:val="24"/>
        </w:rPr>
        <w:t xml:space="preserve">eredményeképp a Bloomberg vállalatirányítási dimenzióra vonatkozó pontszámai </w:t>
      </w:r>
      <w:r w:rsidR="002A0634">
        <w:rPr>
          <w:rFonts w:ascii="Georgia" w:hAnsi="Georgia" w:cs="Times New Roman"/>
          <w:sz w:val="24"/>
          <w:szCs w:val="24"/>
        </w:rPr>
        <w:t>közül</w:t>
      </w:r>
      <w:r w:rsidR="00A161BD">
        <w:rPr>
          <w:rFonts w:ascii="Georgia" w:hAnsi="Georgia" w:cs="Times New Roman"/>
          <w:sz w:val="24"/>
          <w:szCs w:val="24"/>
        </w:rPr>
        <w:t xml:space="preserve"> </w:t>
      </w:r>
      <w:r w:rsidR="003022E8">
        <w:rPr>
          <w:rFonts w:ascii="Georgia" w:hAnsi="Georgia" w:cs="Times New Roman"/>
          <w:sz w:val="24"/>
          <w:szCs w:val="24"/>
        </w:rPr>
        <w:t>egy</w:t>
      </w:r>
      <w:r w:rsidR="00A161BD">
        <w:rPr>
          <w:rFonts w:ascii="Georgia" w:hAnsi="Georgia" w:cs="Times New Roman"/>
          <w:sz w:val="24"/>
          <w:szCs w:val="24"/>
        </w:rPr>
        <w:t xml:space="preserve"> elem bizonyult kiugró értékűnek a 40 elemű minta esetében. Ezzel szemben a 20 elemű mintában a vizsgálat nem talált outlier adatot.</w:t>
      </w:r>
      <w:r w:rsidR="00243A68">
        <w:rPr>
          <w:rFonts w:ascii="Georgia" w:hAnsi="Georgia" w:cs="Times New Roman"/>
          <w:sz w:val="24"/>
          <w:szCs w:val="24"/>
        </w:rPr>
        <w:t xml:space="preserve"> Mivel a kutatás</w:t>
      </w:r>
      <w:r w:rsidR="00FE54A6">
        <w:rPr>
          <w:rFonts w:ascii="Georgia" w:hAnsi="Georgia" w:cs="Times New Roman"/>
          <w:sz w:val="24"/>
          <w:szCs w:val="24"/>
        </w:rPr>
        <w:t>unk</w:t>
      </w:r>
      <w:r w:rsidR="00243A68">
        <w:rPr>
          <w:rFonts w:ascii="Georgia" w:hAnsi="Georgia" w:cs="Times New Roman"/>
          <w:sz w:val="24"/>
          <w:szCs w:val="24"/>
        </w:rPr>
        <w:t xml:space="preserve"> fő fókuszában a közzétett ESG pontszámok megbízhatóságának mérése áll, ezért úgy döntött</w:t>
      </w:r>
      <w:r w:rsidR="00FE54A6">
        <w:rPr>
          <w:rFonts w:ascii="Georgia" w:hAnsi="Georgia" w:cs="Times New Roman"/>
          <w:sz w:val="24"/>
          <w:szCs w:val="24"/>
        </w:rPr>
        <w:t>ünk</w:t>
      </w:r>
      <w:r w:rsidR="00243A68">
        <w:rPr>
          <w:rFonts w:ascii="Georgia" w:hAnsi="Georgia" w:cs="Times New Roman"/>
          <w:sz w:val="24"/>
          <w:szCs w:val="24"/>
        </w:rPr>
        <w:t>, hogy az azonosított elemet, torzító hatása ellenére sem zár</w:t>
      </w:r>
      <w:r w:rsidR="00FE54A6">
        <w:rPr>
          <w:rFonts w:ascii="Georgia" w:hAnsi="Georgia" w:cs="Times New Roman"/>
          <w:sz w:val="24"/>
          <w:szCs w:val="24"/>
        </w:rPr>
        <w:t>juk</w:t>
      </w:r>
      <w:r w:rsidR="00243A68">
        <w:rPr>
          <w:rFonts w:ascii="Georgia" w:hAnsi="Georgia" w:cs="Times New Roman"/>
          <w:sz w:val="24"/>
          <w:szCs w:val="24"/>
        </w:rPr>
        <w:t xml:space="preserve"> ki a mintából.</w:t>
      </w:r>
    </w:p>
    <w:p w14:paraId="3C6289A8" w14:textId="4075CED6" w:rsidR="00D1320A" w:rsidRDefault="001F03EF" w:rsidP="009D525F">
      <w:pPr>
        <w:spacing w:line="360" w:lineRule="auto"/>
        <w:ind w:firstLine="709"/>
        <w:jc w:val="both"/>
        <w:rPr>
          <w:rFonts w:ascii="Georgia" w:hAnsi="Georgia" w:cs="Times New Roman"/>
          <w:sz w:val="24"/>
          <w:szCs w:val="24"/>
        </w:rPr>
      </w:pPr>
      <w:r>
        <w:rPr>
          <w:rFonts w:ascii="Georgia" w:hAnsi="Georgia" w:cs="Times New Roman"/>
          <w:sz w:val="24"/>
          <w:szCs w:val="24"/>
        </w:rPr>
        <w:t xml:space="preserve">Ezt követően előzetes várakozások felállítása érdekében egy pontfelhő diagram segítségével ábrázoltam az egyes minősítők ESG pontszámait, mind a 40 elemű, mind a 20 elemű mintára vonatkozóan. </w:t>
      </w:r>
      <w:r w:rsidR="008040E2">
        <w:rPr>
          <w:rFonts w:ascii="Georgia" w:hAnsi="Georgia" w:cs="Times New Roman"/>
          <w:sz w:val="24"/>
          <w:szCs w:val="24"/>
        </w:rPr>
        <w:t xml:space="preserve">Ez alapján elmondható, hogy </w:t>
      </w:r>
      <w:proofErr w:type="gramStart"/>
      <w:r w:rsidR="008040E2">
        <w:rPr>
          <w:rFonts w:ascii="Georgia" w:hAnsi="Georgia" w:cs="Times New Roman"/>
          <w:sz w:val="24"/>
          <w:szCs w:val="24"/>
        </w:rPr>
        <w:t xml:space="preserve">a </w:t>
      </w:r>
      <w:r w:rsidR="00C42C79">
        <w:rPr>
          <w:rFonts w:ascii="Georgia" w:hAnsi="Georgia" w:cs="Times New Roman"/>
          <w:sz w:val="24"/>
          <w:szCs w:val="24"/>
        </w:rPr>
        <w:t xml:space="preserve"> Refinitiv</w:t>
      </w:r>
      <w:proofErr w:type="gramEnd"/>
      <w:r w:rsidR="00C42C79">
        <w:rPr>
          <w:rFonts w:ascii="Georgia" w:hAnsi="Georgia" w:cs="Times New Roman"/>
          <w:sz w:val="24"/>
          <w:szCs w:val="24"/>
        </w:rPr>
        <w:t xml:space="preserve"> és a Bloomberg pontszámai között egyfajta pozitív irányú kapcsolat rajzolódik ki. Ezt a tendenciát a 20 elemű mintára készített </w:t>
      </w:r>
      <w:r w:rsidR="003022E8">
        <w:rPr>
          <w:rFonts w:ascii="Georgia" w:hAnsi="Georgia" w:cs="Times New Roman"/>
          <w:sz w:val="24"/>
          <w:szCs w:val="24"/>
        </w:rPr>
        <w:t>pontfelhőn</w:t>
      </w:r>
      <w:r w:rsidR="00C42C79">
        <w:rPr>
          <w:rFonts w:ascii="Georgia" w:hAnsi="Georgia" w:cs="Times New Roman"/>
          <w:sz w:val="24"/>
          <w:szCs w:val="24"/>
        </w:rPr>
        <w:t xml:space="preserve"> is jól ki lehet venni, ahol a Refinitiv és a Bloomberg mellett a S&amp;P pontszámai is pozitív irányú kapcsolatot jeleznek elő. A többi minősítő esetében a pontfelhők segítségével nem lehet egyértelműen meghatározni a kapcsolat meglétét és annak irányát</w:t>
      </w:r>
      <w:r w:rsidR="00243A68">
        <w:rPr>
          <w:rFonts w:ascii="Georgia" w:hAnsi="Georgia" w:cs="Times New Roman"/>
          <w:sz w:val="24"/>
          <w:szCs w:val="24"/>
        </w:rPr>
        <w:t>, ami szükségessé teszi a korrelációs vizsgálatok lefolytatását</w:t>
      </w:r>
      <w:r w:rsidR="00C42C79">
        <w:rPr>
          <w:rFonts w:ascii="Georgia" w:hAnsi="Georgia" w:cs="Times New Roman"/>
          <w:sz w:val="24"/>
          <w:szCs w:val="24"/>
        </w:rPr>
        <w:t>.</w:t>
      </w:r>
    </w:p>
    <w:p w14:paraId="4EE9445F" w14:textId="2337D32A" w:rsidR="00035E85" w:rsidRPr="007E723C" w:rsidRDefault="00035E85" w:rsidP="009D525F">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elemzés </w:t>
      </w:r>
      <w:r w:rsidR="00243A68">
        <w:rPr>
          <w:rFonts w:ascii="Georgia" w:hAnsi="Georgia" w:cs="Times New Roman"/>
          <w:sz w:val="24"/>
          <w:szCs w:val="24"/>
        </w:rPr>
        <w:t>következő</w:t>
      </w:r>
      <w:r w:rsidRPr="007E723C">
        <w:rPr>
          <w:rFonts w:ascii="Georgia" w:hAnsi="Georgia" w:cs="Times New Roman"/>
          <w:sz w:val="24"/>
          <w:szCs w:val="24"/>
        </w:rPr>
        <w:t xml:space="preserve"> lépéseként a 40 elemű mintán </w:t>
      </w:r>
      <w:r w:rsidR="00BD2E86" w:rsidRPr="007E723C">
        <w:rPr>
          <w:rFonts w:ascii="Georgia" w:hAnsi="Georgia" w:cs="Times New Roman"/>
          <w:sz w:val="24"/>
          <w:szCs w:val="24"/>
        </w:rPr>
        <w:t xml:space="preserve">a Refinitiv és a Bloomberg összesített pontszámai közötti kapcsolatot vizsgáltam, majd hasonló </w:t>
      </w:r>
      <w:r w:rsidR="00BD2E86" w:rsidRPr="007E723C">
        <w:rPr>
          <w:rFonts w:ascii="Georgia" w:hAnsi="Georgia" w:cs="Times New Roman"/>
          <w:sz w:val="24"/>
          <w:szCs w:val="24"/>
        </w:rPr>
        <w:lastRenderedPageBreak/>
        <w:t>módon az ESG egyes dimenziói szerinti pontszámokat is korrelációs vizsgálat alá vetettem. Ezt követően mind a nyolc iparágra külön-külön is lefolytattam az aggregált és pill</w:t>
      </w:r>
      <w:r w:rsidR="00243A68">
        <w:rPr>
          <w:rFonts w:ascii="Georgia" w:hAnsi="Georgia" w:cs="Times New Roman"/>
          <w:sz w:val="24"/>
          <w:szCs w:val="24"/>
        </w:rPr>
        <w:t>é</w:t>
      </w:r>
      <w:r w:rsidR="00BD2E86" w:rsidRPr="007E723C">
        <w:rPr>
          <w:rFonts w:ascii="Georgia" w:hAnsi="Georgia" w:cs="Times New Roman"/>
          <w:sz w:val="24"/>
          <w:szCs w:val="24"/>
        </w:rPr>
        <w:t>r</w:t>
      </w:r>
      <w:r w:rsidR="00243A68">
        <w:rPr>
          <w:rFonts w:ascii="Georgia" w:hAnsi="Georgia" w:cs="Times New Roman"/>
          <w:sz w:val="24"/>
          <w:szCs w:val="24"/>
        </w:rPr>
        <w:t>en</w:t>
      </w:r>
      <w:r w:rsidR="00BD2E86" w:rsidRPr="007E723C">
        <w:rPr>
          <w:rFonts w:ascii="Georgia" w:hAnsi="Georgia" w:cs="Times New Roman"/>
          <w:sz w:val="24"/>
          <w:szCs w:val="24"/>
        </w:rPr>
        <w:t xml:space="preserve">kénti pontszámok vizsgálatát. </w:t>
      </w:r>
      <w:r w:rsidR="005467BF">
        <w:rPr>
          <w:rFonts w:ascii="Georgia" w:hAnsi="Georgia" w:cs="Times New Roman"/>
          <w:sz w:val="24"/>
          <w:szCs w:val="24"/>
        </w:rPr>
        <w:t xml:space="preserve">Fontos kiemelni, hogy az MSCI-t értékeléseit kivéve minden minősítő esetében az általuk közzétett konkrét pontszámokat használtam fel a kapcsolatvizsgálat lefolytatásához. Az MSCI esetében azonban szükség volt a vállalatok minősítéseinek számokká alakítására, oly módon, hogy az egyes szintekhez 1 és 7 közötti számokat rendeltem, ahol 1 jelentette a legrosszabb, míg 7 a legjobb fenntarthatósági teljesítményt. </w:t>
      </w:r>
    </w:p>
    <w:p w14:paraId="03824D73" w14:textId="30D04C0C" w:rsidR="00BD2E86" w:rsidRPr="007E723C" w:rsidRDefault="00BD2E86" w:rsidP="009D525F">
      <w:pPr>
        <w:spacing w:line="360" w:lineRule="auto"/>
        <w:ind w:firstLine="709"/>
        <w:jc w:val="both"/>
        <w:rPr>
          <w:rFonts w:ascii="Georgia" w:hAnsi="Georgia" w:cs="Times New Roman"/>
          <w:sz w:val="24"/>
          <w:szCs w:val="24"/>
        </w:rPr>
      </w:pPr>
      <w:r w:rsidRPr="007E723C">
        <w:rPr>
          <w:rFonts w:ascii="Georgia" w:hAnsi="Georgia" w:cs="Times New Roman"/>
          <w:sz w:val="24"/>
          <w:szCs w:val="24"/>
        </w:rPr>
        <w:t>Ahogy fentebb is említettem, a S&amp;P, az MSCI és a Sustainalytics ESG minősítései az eredeti 40 elemű mintában szereplő vállalatok közül csupán 20 társaság esetében álltak rendelkezésre, így a korrelációs vizsgálatot ezen 20 elemű mintán is elvégeztem annak érdekében, hogy e három további</w:t>
      </w:r>
      <w:r w:rsidR="00A12BA8">
        <w:rPr>
          <w:rFonts w:ascii="Georgia" w:hAnsi="Georgia" w:cs="Times New Roman"/>
          <w:sz w:val="24"/>
          <w:szCs w:val="24"/>
        </w:rPr>
        <w:t>,</w:t>
      </w:r>
      <w:r w:rsidRPr="007E723C">
        <w:rPr>
          <w:rFonts w:ascii="Georgia" w:hAnsi="Georgia" w:cs="Times New Roman"/>
          <w:sz w:val="24"/>
          <w:szCs w:val="24"/>
        </w:rPr>
        <w:t xml:space="preserve"> ESG minősítést végző társaság </w:t>
      </w:r>
      <w:r w:rsidR="00575CF8" w:rsidRPr="007E723C">
        <w:rPr>
          <w:rFonts w:ascii="Georgia" w:hAnsi="Georgia" w:cs="Times New Roman"/>
          <w:sz w:val="24"/>
          <w:szCs w:val="24"/>
        </w:rPr>
        <w:t xml:space="preserve">által közreadott pontszámok közötti kapcsolatról is meggyőződhessek. Ebben az esetben azonban az adatokhoz való korlátozott hozzáférés miatt csupán az aggregált ESG pontszámokat tudtam összevetni. </w:t>
      </w:r>
    </w:p>
    <w:p w14:paraId="5CC11720" w14:textId="3E53B66A" w:rsidR="00575CF8" w:rsidRPr="007E723C" w:rsidRDefault="00A12BA8" w:rsidP="009D525F">
      <w:pPr>
        <w:spacing w:line="360" w:lineRule="auto"/>
        <w:ind w:firstLine="709"/>
        <w:jc w:val="both"/>
        <w:rPr>
          <w:rFonts w:ascii="Georgia" w:hAnsi="Georgia" w:cs="Times New Roman"/>
          <w:sz w:val="24"/>
          <w:szCs w:val="24"/>
        </w:rPr>
      </w:pPr>
      <w:r>
        <w:rPr>
          <w:rFonts w:ascii="Georgia" w:hAnsi="Georgia" w:cs="Times New Roman"/>
          <w:sz w:val="24"/>
          <w:szCs w:val="24"/>
        </w:rPr>
        <w:t xml:space="preserve">Ahhoz, hogy az előzetesen </w:t>
      </w:r>
      <w:r w:rsidR="00483666">
        <w:rPr>
          <w:rFonts w:ascii="Georgia" w:hAnsi="Georgia" w:cs="Times New Roman"/>
          <w:sz w:val="24"/>
          <w:szCs w:val="24"/>
        </w:rPr>
        <w:t>megfogalmazott hipotéziseimet</w:t>
      </w:r>
      <w:r w:rsidR="00274440">
        <w:rPr>
          <w:rFonts w:ascii="Georgia" w:hAnsi="Georgia" w:cs="Times New Roman"/>
          <w:sz w:val="24"/>
          <w:szCs w:val="24"/>
        </w:rPr>
        <w:t xml:space="preserve"> is</w:t>
      </w:r>
      <w:r w:rsidR="00483666">
        <w:rPr>
          <w:rFonts w:ascii="Georgia" w:hAnsi="Georgia" w:cs="Times New Roman"/>
          <w:sz w:val="24"/>
          <w:szCs w:val="24"/>
        </w:rPr>
        <w:t xml:space="preserve"> igazolni </w:t>
      </w:r>
      <w:r w:rsidR="00274440">
        <w:rPr>
          <w:rFonts w:ascii="Georgia" w:hAnsi="Georgia" w:cs="Times New Roman"/>
          <w:sz w:val="24"/>
          <w:szCs w:val="24"/>
        </w:rPr>
        <w:t xml:space="preserve">vagy cáfolni </w:t>
      </w:r>
      <w:r w:rsidR="00483666">
        <w:rPr>
          <w:rFonts w:ascii="Georgia" w:hAnsi="Georgia" w:cs="Times New Roman"/>
          <w:sz w:val="24"/>
          <w:szCs w:val="24"/>
        </w:rPr>
        <w:t>tudjam</w:t>
      </w:r>
      <w:r w:rsidR="005B0F74">
        <w:rPr>
          <w:rFonts w:ascii="Georgia" w:hAnsi="Georgia" w:cs="Times New Roman"/>
          <w:sz w:val="24"/>
          <w:szCs w:val="24"/>
        </w:rPr>
        <w:t xml:space="preserve"> a 40</w:t>
      </w:r>
      <w:r w:rsidR="00483666">
        <w:rPr>
          <w:rFonts w:ascii="Georgia" w:hAnsi="Georgia" w:cs="Times New Roman"/>
          <w:sz w:val="24"/>
          <w:szCs w:val="24"/>
        </w:rPr>
        <w:t xml:space="preserve"> elemű mintára vonatkozóan megvizsgáltam</w:t>
      </w:r>
      <w:r w:rsidR="00274440">
        <w:rPr>
          <w:rFonts w:ascii="Georgia" w:hAnsi="Georgia" w:cs="Times New Roman"/>
          <w:sz w:val="24"/>
          <w:szCs w:val="24"/>
        </w:rPr>
        <w:t xml:space="preserve"> azt is</w:t>
      </w:r>
      <w:r w:rsidR="00483666">
        <w:rPr>
          <w:rFonts w:ascii="Georgia" w:hAnsi="Georgia" w:cs="Times New Roman"/>
          <w:sz w:val="24"/>
          <w:szCs w:val="24"/>
        </w:rPr>
        <w:t>, hogy felfedezhető-e valamilyen kapcsolat az aggregált ESG pontszámok és a vállalatok földrajzi elhelyezkedése között.</w:t>
      </w:r>
      <w:r w:rsidR="002A0634">
        <w:rPr>
          <w:rFonts w:ascii="Georgia" w:hAnsi="Georgia" w:cs="Times New Roman"/>
          <w:sz w:val="24"/>
          <w:szCs w:val="24"/>
        </w:rPr>
        <w:t xml:space="preserve"> Itt szintén az egyes változók (kontinesek) számszerű kódolására volt szükség az elemzés elvégzéséhez. </w:t>
      </w:r>
      <w:r w:rsidR="00274440">
        <w:rPr>
          <w:rFonts w:ascii="Georgia" w:hAnsi="Georgia" w:cs="Times New Roman"/>
          <w:sz w:val="24"/>
          <w:szCs w:val="24"/>
        </w:rPr>
        <w:t xml:space="preserve"> Majd ezt követően a korrelációelemzést kiterjesztettem az ESG pontszámok és a mérlegfőösszeg közötti kapcsolat vizsgálatára is, annak érdekében, hogy alátámasszam azt, hogy a nagyobb, tőkeerősebb vállalatok valóban jobb ESG teljesítmény nyújtanak. </w:t>
      </w:r>
    </w:p>
    <w:p w14:paraId="57D211B0" w14:textId="77777777" w:rsidR="00672B57" w:rsidRPr="007E723C" w:rsidRDefault="00672B57" w:rsidP="00672B57">
      <w:pPr>
        <w:rPr>
          <w:rFonts w:ascii="Georgia" w:hAnsi="Georgia"/>
          <w:sz w:val="24"/>
          <w:szCs w:val="24"/>
        </w:rPr>
      </w:pPr>
    </w:p>
    <w:p w14:paraId="6AF6C617" w14:textId="181A55FF" w:rsidR="00E77DC4" w:rsidRPr="007E723C" w:rsidRDefault="007448B2">
      <w:pPr>
        <w:rPr>
          <w:rFonts w:ascii="Georgia" w:hAnsi="Georgia" w:cs="Times New Roman"/>
          <w:b/>
          <w:bCs/>
          <w:sz w:val="24"/>
          <w:szCs w:val="24"/>
        </w:rPr>
      </w:pPr>
      <w:r w:rsidRPr="007E723C">
        <w:rPr>
          <w:rFonts w:ascii="Georgia" w:hAnsi="Georgia" w:cs="Times New Roman"/>
          <w:b/>
          <w:bCs/>
          <w:sz w:val="24"/>
          <w:szCs w:val="24"/>
        </w:rPr>
        <w:br w:type="page"/>
      </w:r>
    </w:p>
    <w:p w14:paraId="5BFC982D" w14:textId="511ED21F" w:rsidR="00FF794A" w:rsidRPr="008040E2" w:rsidRDefault="00E73159" w:rsidP="008040E2">
      <w:pPr>
        <w:pStyle w:val="Cmsor1"/>
        <w:numPr>
          <w:ilvl w:val="0"/>
          <w:numId w:val="1"/>
        </w:numPr>
        <w:spacing w:after="240" w:line="360" w:lineRule="auto"/>
        <w:ind w:left="431" w:hanging="431"/>
        <w:jc w:val="both"/>
        <w:rPr>
          <w:rFonts w:ascii="Georgia" w:hAnsi="Georgia" w:cs="Times New Roman"/>
          <w:b/>
          <w:bCs/>
          <w:color w:val="auto"/>
          <w:sz w:val="28"/>
          <w:szCs w:val="28"/>
        </w:rPr>
      </w:pPr>
      <w:bookmarkStart w:id="52" w:name="_Toc119421192"/>
      <w:r w:rsidRPr="008040E2">
        <w:rPr>
          <w:rFonts w:ascii="Georgia" w:hAnsi="Georgia" w:cs="Times New Roman"/>
          <w:b/>
          <w:bCs/>
          <w:color w:val="auto"/>
          <w:sz w:val="28"/>
          <w:szCs w:val="28"/>
        </w:rPr>
        <w:lastRenderedPageBreak/>
        <w:t xml:space="preserve">A </w:t>
      </w:r>
      <w:r w:rsidR="00F80EA2" w:rsidRPr="008040E2">
        <w:rPr>
          <w:rFonts w:ascii="Georgia" w:hAnsi="Georgia" w:cs="Times New Roman"/>
          <w:b/>
          <w:bCs/>
          <w:color w:val="auto"/>
          <w:sz w:val="28"/>
          <w:szCs w:val="28"/>
        </w:rPr>
        <w:t>KUTATÁS</w:t>
      </w:r>
      <w:r w:rsidRPr="008040E2">
        <w:rPr>
          <w:rFonts w:ascii="Georgia" w:hAnsi="Georgia" w:cs="Times New Roman"/>
          <w:b/>
          <w:bCs/>
          <w:color w:val="auto"/>
          <w:sz w:val="28"/>
          <w:szCs w:val="28"/>
        </w:rPr>
        <w:t xml:space="preserve"> </w:t>
      </w:r>
      <w:r w:rsidR="00F80EA2" w:rsidRPr="008040E2">
        <w:rPr>
          <w:rFonts w:ascii="Georgia" w:hAnsi="Georgia" w:cs="Times New Roman"/>
          <w:b/>
          <w:bCs/>
          <w:color w:val="auto"/>
          <w:sz w:val="28"/>
          <w:szCs w:val="28"/>
        </w:rPr>
        <w:t>EREDMÉNYE</w:t>
      </w:r>
      <w:r w:rsidR="00FF794A" w:rsidRPr="008040E2">
        <w:rPr>
          <w:rFonts w:ascii="Georgia" w:hAnsi="Georgia" w:cs="Times New Roman"/>
          <w:b/>
          <w:bCs/>
          <w:color w:val="auto"/>
          <w:sz w:val="28"/>
          <w:szCs w:val="28"/>
        </w:rPr>
        <w:t>I</w:t>
      </w:r>
      <w:bookmarkStart w:id="53" w:name="_Toc116368519"/>
      <w:bookmarkStart w:id="54" w:name="_Toc116368576"/>
      <w:bookmarkStart w:id="55" w:name="_Toc116368619"/>
      <w:bookmarkStart w:id="56" w:name="_Toc116368755"/>
      <w:bookmarkStart w:id="57" w:name="_Toc116368832"/>
      <w:bookmarkStart w:id="58" w:name="_Toc116368936"/>
      <w:bookmarkStart w:id="59" w:name="_Toc116369079"/>
      <w:bookmarkStart w:id="60" w:name="_Toc116400495"/>
      <w:bookmarkStart w:id="61" w:name="_Toc116459423"/>
      <w:bookmarkStart w:id="62" w:name="_Toc116980058"/>
      <w:bookmarkStart w:id="63" w:name="_Toc116988417"/>
      <w:bookmarkStart w:id="64" w:name="_Toc117634428"/>
      <w:bookmarkEnd w:id="52"/>
      <w:bookmarkEnd w:id="53"/>
      <w:bookmarkEnd w:id="54"/>
      <w:bookmarkEnd w:id="55"/>
      <w:bookmarkEnd w:id="56"/>
      <w:bookmarkEnd w:id="57"/>
      <w:bookmarkEnd w:id="58"/>
      <w:bookmarkEnd w:id="59"/>
      <w:bookmarkEnd w:id="60"/>
      <w:bookmarkEnd w:id="61"/>
      <w:bookmarkEnd w:id="62"/>
      <w:bookmarkEnd w:id="63"/>
      <w:bookmarkEnd w:id="64"/>
    </w:p>
    <w:p w14:paraId="280C5311" w14:textId="1B436F00" w:rsidR="00FF794A" w:rsidRPr="00480C87" w:rsidRDefault="002502E8" w:rsidP="008040E2">
      <w:pPr>
        <w:pStyle w:val="Cmsor2"/>
        <w:numPr>
          <w:ilvl w:val="1"/>
          <w:numId w:val="1"/>
        </w:numPr>
        <w:spacing w:line="360" w:lineRule="auto"/>
        <w:ind w:left="1134" w:hanging="578"/>
        <w:jc w:val="both"/>
        <w:rPr>
          <w:rFonts w:ascii="Georgia" w:hAnsi="Georgia" w:cs="Times New Roman"/>
          <w:b/>
          <w:bCs/>
          <w:color w:val="auto"/>
          <w:sz w:val="24"/>
          <w:szCs w:val="24"/>
        </w:rPr>
      </w:pPr>
      <w:bookmarkStart w:id="65" w:name="_Toc119421193"/>
      <w:r w:rsidRPr="00480C87">
        <w:rPr>
          <w:rFonts w:ascii="Georgia" w:hAnsi="Georgia" w:cs="Times New Roman"/>
          <w:b/>
          <w:bCs/>
          <w:color w:val="auto"/>
          <w:sz w:val="24"/>
          <w:szCs w:val="24"/>
        </w:rPr>
        <w:t>Az ESG minősítés végzők módszertanának eltérései</w:t>
      </w:r>
      <w:bookmarkEnd w:id="65"/>
    </w:p>
    <w:p w14:paraId="204A58FF" w14:textId="6236C667" w:rsidR="001672ED" w:rsidRPr="007E723C" w:rsidRDefault="00E73C75" w:rsidP="00E73C75">
      <w:pPr>
        <w:spacing w:line="360" w:lineRule="auto"/>
        <w:ind w:firstLine="709"/>
        <w:jc w:val="both"/>
        <w:rPr>
          <w:rFonts w:ascii="Georgia" w:hAnsi="Georgia" w:cs="Times New Roman"/>
          <w:sz w:val="24"/>
          <w:szCs w:val="24"/>
        </w:rPr>
      </w:pPr>
      <w:r w:rsidRPr="007E723C">
        <w:rPr>
          <w:rFonts w:ascii="Georgia" w:hAnsi="Georgia" w:cs="Times New Roman"/>
          <w:sz w:val="24"/>
          <w:szCs w:val="24"/>
        </w:rPr>
        <w:t>Kutatás</w:t>
      </w:r>
      <w:r w:rsidR="00FE54A6">
        <w:rPr>
          <w:rFonts w:ascii="Georgia" w:hAnsi="Georgia" w:cs="Times New Roman"/>
          <w:sz w:val="24"/>
          <w:szCs w:val="24"/>
        </w:rPr>
        <w:t>unk</w:t>
      </w:r>
      <w:r w:rsidRPr="007E723C">
        <w:rPr>
          <w:rFonts w:ascii="Georgia" w:hAnsi="Georgia" w:cs="Times New Roman"/>
          <w:sz w:val="24"/>
          <w:szCs w:val="24"/>
        </w:rPr>
        <w:t xml:space="preserve"> első részének középpontjában az állt, hogy feltárj</w:t>
      </w:r>
      <w:r w:rsidR="00FE54A6">
        <w:rPr>
          <w:rFonts w:ascii="Georgia" w:hAnsi="Georgia" w:cs="Times New Roman"/>
          <w:sz w:val="24"/>
          <w:szCs w:val="24"/>
        </w:rPr>
        <w:t>uk</w:t>
      </w:r>
      <w:r w:rsidRPr="007E723C">
        <w:rPr>
          <w:rFonts w:ascii="Georgia" w:hAnsi="Georgia" w:cs="Times New Roman"/>
          <w:sz w:val="24"/>
          <w:szCs w:val="24"/>
        </w:rPr>
        <w:t xml:space="preserve"> az ESG minősítést végző társaságok módszertanának sajátosságait</w:t>
      </w:r>
      <w:r w:rsidR="00FE54A6">
        <w:rPr>
          <w:rFonts w:ascii="Georgia" w:hAnsi="Georgia" w:cs="Times New Roman"/>
          <w:sz w:val="24"/>
          <w:szCs w:val="24"/>
        </w:rPr>
        <w:t>,</w:t>
      </w:r>
      <w:r w:rsidRPr="007E723C">
        <w:rPr>
          <w:rFonts w:ascii="Georgia" w:hAnsi="Georgia" w:cs="Times New Roman"/>
          <w:sz w:val="24"/>
          <w:szCs w:val="24"/>
        </w:rPr>
        <w:t xml:space="preserve"> annak érdekében, hogy rámutass</w:t>
      </w:r>
      <w:r w:rsidR="00FE54A6">
        <w:rPr>
          <w:rFonts w:ascii="Georgia" w:hAnsi="Georgia" w:cs="Times New Roman"/>
          <w:sz w:val="24"/>
          <w:szCs w:val="24"/>
        </w:rPr>
        <w:t>un</w:t>
      </w:r>
      <w:r w:rsidRPr="007E723C">
        <w:rPr>
          <w:rFonts w:ascii="Georgia" w:hAnsi="Georgia" w:cs="Times New Roman"/>
          <w:sz w:val="24"/>
          <w:szCs w:val="24"/>
        </w:rPr>
        <w:t>k a metodológiák egyes aspektusainak eltéréseire. Az e célból elvég</w:t>
      </w:r>
      <w:r w:rsidR="00FE54A6">
        <w:rPr>
          <w:rFonts w:ascii="Georgia" w:hAnsi="Georgia" w:cs="Times New Roman"/>
          <w:sz w:val="24"/>
          <w:szCs w:val="24"/>
        </w:rPr>
        <w:t>e</w:t>
      </w:r>
      <w:r w:rsidRPr="007E723C">
        <w:rPr>
          <w:rFonts w:ascii="Georgia" w:hAnsi="Georgia" w:cs="Times New Roman"/>
          <w:sz w:val="24"/>
          <w:szCs w:val="24"/>
        </w:rPr>
        <w:t>z</w:t>
      </w:r>
      <w:r w:rsidR="00FE54A6">
        <w:rPr>
          <w:rFonts w:ascii="Georgia" w:hAnsi="Georgia" w:cs="Times New Roman"/>
          <w:sz w:val="24"/>
          <w:szCs w:val="24"/>
        </w:rPr>
        <w:t>ett</w:t>
      </w:r>
      <w:r w:rsidRPr="007E723C">
        <w:rPr>
          <w:rFonts w:ascii="Georgia" w:hAnsi="Georgia" w:cs="Times New Roman"/>
          <w:sz w:val="24"/>
          <w:szCs w:val="24"/>
        </w:rPr>
        <w:t xml:space="preserve"> tartalomelemzés eredménye azt mutatja, hogy az ESG minősítések mögött meghúzódó módszertan több ponton is </w:t>
      </w:r>
      <w:r w:rsidR="00977A26" w:rsidRPr="007E723C">
        <w:rPr>
          <w:rFonts w:ascii="Georgia" w:hAnsi="Georgia" w:cs="Times New Roman"/>
          <w:sz w:val="24"/>
          <w:szCs w:val="24"/>
        </w:rPr>
        <w:t xml:space="preserve">különbözik, így elmondható, hogy a </w:t>
      </w:r>
      <w:r w:rsidR="001B56B6" w:rsidRPr="007E723C">
        <w:rPr>
          <w:rFonts w:ascii="Georgia" w:hAnsi="Georgia" w:cs="Times New Roman"/>
          <w:sz w:val="24"/>
          <w:szCs w:val="24"/>
        </w:rPr>
        <w:t xml:space="preserve">minősítők </w:t>
      </w:r>
      <w:r w:rsidR="00977A26" w:rsidRPr="007E723C">
        <w:rPr>
          <w:rFonts w:ascii="Georgia" w:hAnsi="Georgia" w:cs="Times New Roman"/>
          <w:sz w:val="24"/>
          <w:szCs w:val="24"/>
        </w:rPr>
        <w:t>mérési metodik</w:t>
      </w:r>
      <w:r w:rsidR="001B56B6" w:rsidRPr="007E723C">
        <w:rPr>
          <w:rFonts w:ascii="Georgia" w:hAnsi="Georgia" w:cs="Times New Roman"/>
          <w:sz w:val="24"/>
          <w:szCs w:val="24"/>
        </w:rPr>
        <w:t>ája</w:t>
      </w:r>
      <w:r w:rsidR="00977A26" w:rsidRPr="007E723C">
        <w:rPr>
          <w:rFonts w:ascii="Georgia" w:hAnsi="Georgia" w:cs="Times New Roman"/>
          <w:sz w:val="24"/>
          <w:szCs w:val="24"/>
        </w:rPr>
        <w:t xml:space="preserve"> nem feltétlen biztosít megbízható alapot a vállalatok fenntarthatósági teljesítményének számszerű értékeléséhez.</w:t>
      </w:r>
    </w:p>
    <w:p w14:paraId="46484843" w14:textId="3209F047" w:rsidR="00AF5740" w:rsidRPr="007E723C" w:rsidRDefault="00AF5740" w:rsidP="00AF5740">
      <w:pPr>
        <w:spacing w:after="0" w:line="360" w:lineRule="auto"/>
        <w:ind w:firstLine="709"/>
        <w:jc w:val="both"/>
        <w:rPr>
          <w:rFonts w:ascii="Georgia" w:hAnsi="Georgia" w:cs="Times New Roman"/>
          <w:b/>
          <w:bCs/>
          <w:sz w:val="24"/>
          <w:szCs w:val="24"/>
        </w:rPr>
      </w:pPr>
      <w:r w:rsidRPr="007E723C">
        <w:rPr>
          <w:rFonts w:ascii="Georgia" w:hAnsi="Georgia" w:cs="Times New Roman"/>
          <w:b/>
          <w:bCs/>
          <w:sz w:val="24"/>
          <w:szCs w:val="24"/>
        </w:rPr>
        <w:t xml:space="preserve">Vizsgált </w:t>
      </w:r>
      <w:r w:rsidR="00CE6FF9" w:rsidRPr="007E723C">
        <w:rPr>
          <w:rFonts w:ascii="Georgia" w:hAnsi="Georgia" w:cs="Times New Roman"/>
          <w:b/>
          <w:bCs/>
          <w:sz w:val="24"/>
          <w:szCs w:val="24"/>
        </w:rPr>
        <w:t xml:space="preserve">fenntarthatósági </w:t>
      </w:r>
      <w:r w:rsidRPr="007E723C">
        <w:rPr>
          <w:rFonts w:ascii="Georgia" w:hAnsi="Georgia" w:cs="Times New Roman"/>
          <w:b/>
          <w:bCs/>
          <w:sz w:val="24"/>
          <w:szCs w:val="24"/>
        </w:rPr>
        <w:t>szempontok</w:t>
      </w:r>
    </w:p>
    <w:p w14:paraId="0CFA2A7A" w14:textId="4C19EE33" w:rsidR="00501C61" w:rsidRPr="007E723C" w:rsidRDefault="00306932" w:rsidP="00AF5740">
      <w:pPr>
        <w:spacing w:line="360" w:lineRule="auto"/>
        <w:ind w:firstLine="709"/>
        <w:jc w:val="both"/>
        <w:rPr>
          <w:rFonts w:ascii="Georgia" w:hAnsi="Georgia" w:cs="Times New Roman"/>
          <w:sz w:val="24"/>
          <w:szCs w:val="24"/>
        </w:rPr>
      </w:pPr>
      <w:r w:rsidRPr="007E723C">
        <w:rPr>
          <w:rFonts w:ascii="Georgia" w:hAnsi="Georgia" w:cs="Times New Roman"/>
          <w:sz w:val="24"/>
          <w:szCs w:val="24"/>
        </w:rPr>
        <w:t>Az első és egyben talán a legszemléletesebb eltérés</w:t>
      </w:r>
      <w:r w:rsidR="00C475FE" w:rsidRPr="007E723C">
        <w:rPr>
          <w:rFonts w:ascii="Georgia" w:hAnsi="Georgia" w:cs="Times New Roman"/>
          <w:sz w:val="24"/>
          <w:szCs w:val="24"/>
        </w:rPr>
        <w:t xml:space="preserve"> a vizsgált szempontok esetében figyelhető meg. Az elemzés</w:t>
      </w:r>
      <w:r w:rsidR="00EF74C0" w:rsidRPr="007E723C">
        <w:rPr>
          <w:rFonts w:ascii="Georgia" w:hAnsi="Georgia" w:cs="Times New Roman"/>
          <w:sz w:val="24"/>
          <w:szCs w:val="24"/>
        </w:rPr>
        <w:t>b</w:t>
      </w:r>
      <w:r w:rsidR="00C475FE" w:rsidRPr="007E723C">
        <w:rPr>
          <w:rFonts w:ascii="Georgia" w:hAnsi="Georgia" w:cs="Times New Roman"/>
          <w:sz w:val="24"/>
          <w:szCs w:val="24"/>
        </w:rPr>
        <w:t xml:space="preserve">e bevont ESG minősítést végző társaságok közül egy kivételével mindegyikről elmondható, hogy a fenntarthatóság mindhárom dimenzióját, a környezeti, a társadalmi és a vállalatirányítás tényezőket is figyelembe veszi az értékelés során. A </w:t>
      </w:r>
      <w:r w:rsidR="00EF74C0" w:rsidRPr="007E723C">
        <w:rPr>
          <w:rFonts w:ascii="Georgia" w:hAnsi="Georgia" w:cs="Times New Roman"/>
          <w:sz w:val="24"/>
          <w:szCs w:val="24"/>
        </w:rPr>
        <w:t xml:space="preserve">kutatásban szereplő társaságok körében a </w:t>
      </w:r>
      <w:r w:rsidR="00C475FE" w:rsidRPr="007E723C">
        <w:rPr>
          <w:rFonts w:ascii="Georgia" w:hAnsi="Georgia" w:cs="Times New Roman"/>
          <w:sz w:val="24"/>
          <w:szCs w:val="24"/>
        </w:rPr>
        <w:t xml:space="preserve">CDP az egyetlen olyan minősítő, amely az ESG szempontjai közül csupán a környezeti aspektusra fókuszál. </w:t>
      </w:r>
      <w:r w:rsidR="00EF74C0" w:rsidRPr="007E723C">
        <w:rPr>
          <w:rFonts w:ascii="Georgia" w:hAnsi="Georgia" w:cs="Times New Roman"/>
          <w:sz w:val="24"/>
          <w:szCs w:val="24"/>
        </w:rPr>
        <w:t>A CDP ugyanis elkötelezte magát amellett, hogy a környezet védelemére, a környezetvédelem iránti felelősségvállalásra ösztönözze a vállalatokat oly módon, hogy minősítése</w:t>
      </w:r>
      <w:r w:rsidR="00501C61" w:rsidRPr="007E723C">
        <w:rPr>
          <w:rFonts w:ascii="Georgia" w:hAnsi="Georgia" w:cs="Times New Roman"/>
          <w:sz w:val="24"/>
          <w:szCs w:val="24"/>
        </w:rPr>
        <w:t>k</w:t>
      </w:r>
      <w:r w:rsidR="00EF74C0" w:rsidRPr="007E723C">
        <w:rPr>
          <w:rFonts w:ascii="Georgia" w:hAnsi="Georgia" w:cs="Times New Roman"/>
          <w:sz w:val="24"/>
          <w:szCs w:val="24"/>
        </w:rPr>
        <w:t xml:space="preserve"> révén az értékelt vállalat</w:t>
      </w:r>
      <w:r w:rsidR="00501C61" w:rsidRPr="007E723C">
        <w:rPr>
          <w:rFonts w:ascii="Georgia" w:hAnsi="Georgia" w:cs="Times New Roman"/>
          <w:sz w:val="24"/>
          <w:szCs w:val="24"/>
        </w:rPr>
        <w:t xml:space="preserve">ok esetében mérhetővé tették a környezeti hatásokat és azok kezelési hatékonyságát. Így egy vállalat CDP általi minősítése arról szolgáltat információt az érdekeltek számára, hogy </w:t>
      </w:r>
      <w:r w:rsidR="001B56B6" w:rsidRPr="007E723C">
        <w:rPr>
          <w:rFonts w:ascii="Georgia" w:hAnsi="Georgia" w:cs="Times New Roman"/>
          <w:sz w:val="24"/>
          <w:szCs w:val="24"/>
        </w:rPr>
        <w:t xml:space="preserve">az </w:t>
      </w:r>
      <w:r w:rsidR="00501C61" w:rsidRPr="007E723C">
        <w:rPr>
          <w:rFonts w:ascii="Georgia" w:hAnsi="Georgia" w:cs="Times New Roman"/>
          <w:sz w:val="24"/>
          <w:szCs w:val="24"/>
        </w:rPr>
        <w:t>milyen szinten jár a negatív környezeti hatások csökkentésében.</w:t>
      </w:r>
    </w:p>
    <w:p w14:paraId="6E798CF3" w14:textId="43878F5F" w:rsidR="00AF5740" w:rsidRPr="007E723C" w:rsidRDefault="00AF5740" w:rsidP="00EA1E79">
      <w:pPr>
        <w:spacing w:after="0" w:line="360" w:lineRule="auto"/>
        <w:ind w:firstLine="709"/>
        <w:jc w:val="both"/>
        <w:rPr>
          <w:rFonts w:ascii="Georgia" w:hAnsi="Georgia" w:cs="Times New Roman"/>
          <w:b/>
          <w:bCs/>
          <w:sz w:val="24"/>
          <w:szCs w:val="24"/>
        </w:rPr>
      </w:pPr>
      <w:r w:rsidRPr="007E723C">
        <w:rPr>
          <w:rFonts w:ascii="Georgia" w:hAnsi="Georgia" w:cs="Times New Roman"/>
          <w:b/>
          <w:bCs/>
          <w:sz w:val="24"/>
          <w:szCs w:val="24"/>
        </w:rPr>
        <w:t>Adatforrások</w:t>
      </w:r>
    </w:p>
    <w:p w14:paraId="15060C67" w14:textId="77777777" w:rsidR="009B6C89" w:rsidRPr="007E723C" w:rsidRDefault="00501C61" w:rsidP="009B6C89">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Az ESG minősítést végző társaságok módszertanának vizsgálatából az is kiderült, hogy bizonyos minősítők más-más információforrásokra támaszkodva készítik el az értékeléseket. </w:t>
      </w:r>
      <w:r w:rsidR="0060794D" w:rsidRPr="007E723C">
        <w:rPr>
          <w:rFonts w:ascii="Georgia" w:hAnsi="Georgia" w:cs="Times New Roman"/>
          <w:sz w:val="24"/>
          <w:szCs w:val="24"/>
        </w:rPr>
        <w:t xml:space="preserve">Az összehasonlító elemzés alapján elmondható, hogy valamennyi vállalat elsősorban nyilvánosan is hozzáférhető adatokat használ fel a minősítési folyamat során. Az FTSE Russell külön ki is emeli, hogy kizárólag </w:t>
      </w:r>
      <w:r w:rsidR="00214468" w:rsidRPr="007E723C">
        <w:rPr>
          <w:rFonts w:ascii="Georgia" w:hAnsi="Georgia" w:cs="Times New Roman"/>
          <w:sz w:val="24"/>
          <w:szCs w:val="24"/>
        </w:rPr>
        <w:t xml:space="preserve">nyilvános információk figyelembevételével értékeli a vállalatokat. Közelebbről megvizsgálva a felhasznált adatok forrásait az látszik, hogy vannak minősítők, akik bővebb, míg mások szűkebb információs halmazból merítve minősítik az egyes vállalatokat. Az MSCI kimondottan felhívja a figyelmet arra, hogy több, </w:t>
      </w:r>
      <w:r w:rsidR="00214468" w:rsidRPr="007E723C">
        <w:rPr>
          <w:rFonts w:ascii="Georgia" w:hAnsi="Georgia" w:cs="Times New Roman"/>
          <w:sz w:val="24"/>
          <w:szCs w:val="24"/>
        </w:rPr>
        <w:lastRenderedPageBreak/>
        <w:t>mint 100, speciális adatbázisból származó információra támaszkodik, melyek között kormányzati, civil szervezet</w:t>
      </w:r>
      <w:r w:rsidR="002F05E4" w:rsidRPr="007E723C">
        <w:rPr>
          <w:rFonts w:ascii="Georgia" w:hAnsi="Georgia" w:cs="Times New Roman"/>
          <w:sz w:val="24"/>
          <w:szCs w:val="24"/>
        </w:rPr>
        <w:t>ektől és egyéb modellekből származó adatok</w:t>
      </w:r>
      <w:r w:rsidR="0033024A" w:rsidRPr="007E723C">
        <w:rPr>
          <w:rFonts w:ascii="Georgia" w:hAnsi="Georgia" w:cs="Times New Roman"/>
          <w:sz w:val="24"/>
          <w:szCs w:val="24"/>
        </w:rPr>
        <w:t>at</w:t>
      </w:r>
      <w:r w:rsidR="002F05E4" w:rsidRPr="007E723C">
        <w:rPr>
          <w:rFonts w:ascii="Georgia" w:hAnsi="Georgia" w:cs="Times New Roman"/>
          <w:sz w:val="24"/>
          <w:szCs w:val="24"/>
        </w:rPr>
        <w:t xml:space="preserve"> nevesít.</w:t>
      </w:r>
      <w:r w:rsidR="00214468" w:rsidRPr="007E723C">
        <w:rPr>
          <w:rFonts w:ascii="Georgia" w:hAnsi="Georgia" w:cs="Times New Roman"/>
          <w:sz w:val="24"/>
          <w:szCs w:val="24"/>
        </w:rPr>
        <w:t xml:space="preserve"> </w:t>
      </w:r>
      <w:r w:rsidR="0033024A" w:rsidRPr="007E723C">
        <w:rPr>
          <w:rFonts w:ascii="Georgia" w:hAnsi="Georgia" w:cs="Times New Roman"/>
          <w:sz w:val="24"/>
          <w:szCs w:val="24"/>
        </w:rPr>
        <w:t>Ilyen speciális forrásból származó információkat (pl.: civil szervezetek közzétételei) használ a Sustainalytics, a Refinitiv és az ISS is.</w:t>
      </w:r>
    </w:p>
    <w:p w14:paraId="18D4E6B2" w14:textId="711F3C2B" w:rsidR="009B6C89" w:rsidRPr="007E723C" w:rsidRDefault="0033024A" w:rsidP="009B6C89">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Emellett az MSCI </w:t>
      </w:r>
      <w:r w:rsidR="00AF5740" w:rsidRPr="007E723C">
        <w:rPr>
          <w:rFonts w:ascii="Georgia" w:hAnsi="Georgia" w:cs="Times New Roman"/>
          <w:sz w:val="24"/>
          <w:szCs w:val="24"/>
        </w:rPr>
        <w:t>kiemeli azt</w:t>
      </w:r>
      <w:r w:rsidRPr="007E723C">
        <w:rPr>
          <w:rFonts w:ascii="Georgia" w:hAnsi="Georgia" w:cs="Times New Roman"/>
          <w:sz w:val="24"/>
          <w:szCs w:val="24"/>
        </w:rPr>
        <w:t xml:space="preserve"> is, hogy a minősítés elvégzésében jelentős szerepe van a vállalati közzétételeknek</w:t>
      </w:r>
      <w:r w:rsidR="00610179" w:rsidRPr="007E723C">
        <w:rPr>
          <w:rFonts w:ascii="Georgia" w:hAnsi="Georgia" w:cs="Times New Roman"/>
          <w:sz w:val="24"/>
          <w:szCs w:val="24"/>
        </w:rPr>
        <w:t>, a vállalati weboldalaknak</w:t>
      </w:r>
      <w:r w:rsidRPr="007E723C">
        <w:rPr>
          <w:rFonts w:ascii="Georgia" w:hAnsi="Georgia" w:cs="Times New Roman"/>
          <w:sz w:val="24"/>
          <w:szCs w:val="24"/>
        </w:rPr>
        <w:t xml:space="preserve"> is, ahol nem csak kimondottan a kötelező érvényű éves beszámolóra kell gondolni, hanem egyéb, a legtöbb esetben opcionálisan nyilvánosságra </w:t>
      </w:r>
      <w:r w:rsidR="00AF5740" w:rsidRPr="007E723C">
        <w:rPr>
          <w:rFonts w:ascii="Georgia" w:hAnsi="Georgia" w:cs="Times New Roman"/>
          <w:sz w:val="24"/>
          <w:szCs w:val="24"/>
        </w:rPr>
        <w:t>hozható</w:t>
      </w:r>
      <w:r w:rsidRPr="007E723C">
        <w:rPr>
          <w:rFonts w:ascii="Georgia" w:hAnsi="Georgia" w:cs="Times New Roman"/>
          <w:sz w:val="24"/>
          <w:szCs w:val="24"/>
        </w:rPr>
        <w:t xml:space="preserve"> </w:t>
      </w:r>
      <w:r w:rsidR="00AF5740" w:rsidRPr="007E723C">
        <w:rPr>
          <w:rFonts w:ascii="Georgia" w:hAnsi="Georgia" w:cs="Times New Roman"/>
          <w:sz w:val="24"/>
          <w:szCs w:val="24"/>
        </w:rPr>
        <w:t xml:space="preserve">riportokra is, mint például a nem pénzügyi információkat tömörítő fenntarthatósági jelentések. Ez az adatforrás </w:t>
      </w:r>
      <w:r w:rsidR="009B6C89" w:rsidRPr="007E723C">
        <w:rPr>
          <w:rFonts w:ascii="Georgia" w:hAnsi="Georgia" w:cs="Times New Roman"/>
          <w:sz w:val="24"/>
          <w:szCs w:val="24"/>
        </w:rPr>
        <w:t xml:space="preserve">valamennyi </w:t>
      </w:r>
      <w:r w:rsidR="00AF5740" w:rsidRPr="007E723C">
        <w:rPr>
          <w:rFonts w:ascii="Georgia" w:hAnsi="Georgia" w:cs="Times New Roman"/>
          <w:sz w:val="24"/>
          <w:szCs w:val="24"/>
        </w:rPr>
        <w:t xml:space="preserve">minősítést végző társaság módszertanában megjelenik, a Refinitiv pedig külön ki is emeli a CSR jelentésekben szereplő adatok felhasználásának fontosságát. </w:t>
      </w:r>
      <w:r w:rsidR="00BC7FBA" w:rsidRPr="007E723C">
        <w:rPr>
          <w:rFonts w:ascii="Georgia" w:hAnsi="Georgia" w:cs="Times New Roman"/>
          <w:sz w:val="24"/>
          <w:szCs w:val="24"/>
        </w:rPr>
        <w:t>A vállalatok által közzétett beszámolókban található adatok használatának az egyik előnye, hogy ezek helyességét jellemző</w:t>
      </w:r>
      <w:r w:rsidR="001B56B6" w:rsidRPr="007E723C">
        <w:rPr>
          <w:rFonts w:ascii="Georgia" w:hAnsi="Georgia" w:cs="Times New Roman"/>
          <w:sz w:val="24"/>
          <w:szCs w:val="24"/>
        </w:rPr>
        <w:t>en</w:t>
      </w:r>
      <w:r w:rsidR="00BC7FBA" w:rsidRPr="007E723C">
        <w:rPr>
          <w:rFonts w:ascii="Georgia" w:hAnsi="Georgia" w:cs="Times New Roman"/>
          <w:sz w:val="24"/>
          <w:szCs w:val="24"/>
        </w:rPr>
        <w:t xml:space="preserve"> egy külső fél auditálja. Ennek ellenére felmerülhet az a kérdés, hogy a vállalatok mennyiben próbálják manipulálni teljesítményüket. A fenntarthatóságról szóló beszámolók esetében ez hatványozottan igaz, hiszen a nem pénzügyi beszámolás területén megfigyelhető alacsony mértékű szabályozott</w:t>
      </w:r>
      <w:r w:rsidR="00272B75" w:rsidRPr="007E723C">
        <w:rPr>
          <w:rFonts w:ascii="Georgia" w:hAnsi="Georgia" w:cs="Times New Roman"/>
          <w:sz w:val="24"/>
          <w:szCs w:val="24"/>
        </w:rPr>
        <w:t xml:space="preserve">ság teret ad </w:t>
      </w:r>
      <w:r w:rsidR="00BC7FBA" w:rsidRPr="007E723C">
        <w:rPr>
          <w:rFonts w:ascii="Georgia" w:hAnsi="Georgia" w:cs="Times New Roman"/>
          <w:sz w:val="24"/>
          <w:szCs w:val="24"/>
        </w:rPr>
        <w:t>greenwashing jelenség</w:t>
      </w:r>
      <w:r w:rsidR="00272B75" w:rsidRPr="007E723C">
        <w:rPr>
          <w:rFonts w:ascii="Georgia" w:hAnsi="Georgia" w:cs="Times New Roman"/>
          <w:sz w:val="24"/>
          <w:szCs w:val="24"/>
        </w:rPr>
        <w:t>ének. Éppen</w:t>
      </w:r>
      <w:r w:rsidR="00BC7FBA" w:rsidRPr="007E723C">
        <w:rPr>
          <w:rFonts w:ascii="Georgia" w:hAnsi="Georgia" w:cs="Times New Roman"/>
          <w:sz w:val="24"/>
          <w:szCs w:val="24"/>
        </w:rPr>
        <w:t xml:space="preserve"> ezért már önmagában az ilyen adatok </w:t>
      </w:r>
      <w:r w:rsidR="00272B75" w:rsidRPr="007E723C">
        <w:rPr>
          <w:rFonts w:ascii="Georgia" w:hAnsi="Georgia" w:cs="Times New Roman"/>
          <w:sz w:val="24"/>
          <w:szCs w:val="24"/>
        </w:rPr>
        <w:t xml:space="preserve">felhasználása </w:t>
      </w:r>
      <w:r w:rsidR="00BC7FBA" w:rsidRPr="007E723C">
        <w:rPr>
          <w:rFonts w:ascii="Georgia" w:hAnsi="Georgia" w:cs="Times New Roman"/>
          <w:sz w:val="24"/>
          <w:szCs w:val="24"/>
        </w:rPr>
        <w:t>miatt</w:t>
      </w:r>
      <w:r w:rsidR="00272B75" w:rsidRPr="007E723C">
        <w:rPr>
          <w:rFonts w:ascii="Georgia" w:hAnsi="Georgia" w:cs="Times New Roman"/>
          <w:sz w:val="24"/>
          <w:szCs w:val="24"/>
        </w:rPr>
        <w:t xml:space="preserve"> is</w:t>
      </w:r>
      <w:r w:rsidR="00BC7FBA" w:rsidRPr="007E723C">
        <w:rPr>
          <w:rFonts w:ascii="Georgia" w:hAnsi="Georgia" w:cs="Times New Roman"/>
          <w:sz w:val="24"/>
          <w:szCs w:val="24"/>
        </w:rPr>
        <w:t xml:space="preserve"> megkérdőjelezhető az ESG minősítések </w:t>
      </w:r>
      <w:r w:rsidR="00272B75" w:rsidRPr="007E723C">
        <w:rPr>
          <w:rFonts w:ascii="Georgia" w:hAnsi="Georgia" w:cs="Times New Roman"/>
          <w:sz w:val="24"/>
          <w:szCs w:val="24"/>
        </w:rPr>
        <w:t xml:space="preserve">megbízhatósága. </w:t>
      </w:r>
    </w:p>
    <w:p w14:paraId="40AED5A7" w14:textId="3928C1D4" w:rsidR="00306932" w:rsidRPr="007E723C" w:rsidRDefault="00272B75" w:rsidP="001828C2">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Egy további széles körben alkalmazott adatforrást a médiában megjelenő információk adják, melyekre az MSCI, a Sustainalytics, a Refinitiv, az FTSE Russell és az ISS minősítései is alapoznak. </w:t>
      </w:r>
      <w:r w:rsidR="00932FD4" w:rsidRPr="007E723C">
        <w:rPr>
          <w:rFonts w:ascii="Georgia" w:hAnsi="Georgia" w:cs="Times New Roman"/>
          <w:sz w:val="24"/>
          <w:szCs w:val="24"/>
        </w:rPr>
        <w:t xml:space="preserve">Annak ellenére, hogy ezek az adatok jellemzően külső féltől származnak, itt is felmerülhet a megbízhatóság kérdése, hiszen a különböző hírportálok nem feltétlen értékelik objektíven a vállalatokat. Előfordulhat ugyanis, hogy egy vállalatot kormányközeli érdekeltsége miatt egy politikailag </w:t>
      </w:r>
      <w:r w:rsidR="00610179" w:rsidRPr="007E723C">
        <w:rPr>
          <w:rFonts w:ascii="Georgia" w:hAnsi="Georgia" w:cs="Times New Roman"/>
          <w:sz w:val="24"/>
          <w:szCs w:val="24"/>
        </w:rPr>
        <w:t>eltérő</w:t>
      </w:r>
      <w:r w:rsidR="00932FD4" w:rsidRPr="007E723C">
        <w:rPr>
          <w:rFonts w:ascii="Georgia" w:hAnsi="Georgia" w:cs="Times New Roman"/>
          <w:sz w:val="24"/>
          <w:szCs w:val="24"/>
        </w:rPr>
        <w:t xml:space="preserve"> nézetek valló </w:t>
      </w:r>
      <w:r w:rsidR="00610179" w:rsidRPr="007E723C">
        <w:rPr>
          <w:rFonts w:ascii="Georgia" w:hAnsi="Georgia" w:cs="Times New Roman"/>
          <w:sz w:val="24"/>
          <w:szCs w:val="24"/>
        </w:rPr>
        <w:t xml:space="preserve">hírportál más megvilágításba helyez. Ugyanakkor elképzelhető az is, hogy egy esetleges incidens egy adott vállalat megpróbál eltusolni, miközben a médiának köszönhetően mégis </w:t>
      </w:r>
      <w:r w:rsidR="001B56B6" w:rsidRPr="007E723C">
        <w:rPr>
          <w:rFonts w:ascii="Georgia" w:hAnsi="Georgia" w:cs="Times New Roman"/>
          <w:sz w:val="24"/>
          <w:szCs w:val="24"/>
        </w:rPr>
        <w:t xml:space="preserve">kitudódik, így pedig </w:t>
      </w:r>
      <w:r w:rsidR="00610179" w:rsidRPr="007E723C">
        <w:rPr>
          <w:rFonts w:ascii="Georgia" w:hAnsi="Georgia" w:cs="Times New Roman"/>
          <w:sz w:val="24"/>
          <w:szCs w:val="24"/>
        </w:rPr>
        <w:t>figyelembe lehet venni a minősítés során.</w:t>
      </w:r>
    </w:p>
    <w:p w14:paraId="65841A24" w14:textId="77777777" w:rsidR="004D25EC" w:rsidRPr="007E723C" w:rsidRDefault="00610179" w:rsidP="004D25EC">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fent leírtakkal ellentétben a S&amp;P és a </w:t>
      </w:r>
      <w:r w:rsidR="001828C2" w:rsidRPr="007E723C">
        <w:rPr>
          <w:rFonts w:ascii="Georgia" w:hAnsi="Georgia" w:cs="Times New Roman"/>
          <w:sz w:val="24"/>
          <w:szCs w:val="24"/>
        </w:rPr>
        <w:t xml:space="preserve">CDP teljesen más módszertant követ. Mindkét minősítő esetében arról van szó, hogy értékeléseik alapját főként iparágspecifikus kérdőívekből származó adatok adják. </w:t>
      </w:r>
      <w:r w:rsidR="00AD2E1C" w:rsidRPr="007E723C">
        <w:rPr>
          <w:rFonts w:ascii="Georgia" w:hAnsi="Georgia" w:cs="Times New Roman"/>
          <w:sz w:val="24"/>
          <w:szCs w:val="24"/>
        </w:rPr>
        <w:t xml:space="preserve">Ezeket a kérdőíveket az értékelt vállalatok menedzsmentje tölti ki, így itt is megkérdőjelezhető, hogy mennyiben tekinthető ez az önkéntes adatszolgáltatás megbízhatónak. </w:t>
      </w:r>
      <w:r w:rsidR="00AD2E1C" w:rsidRPr="007E723C">
        <w:rPr>
          <w:rFonts w:ascii="Georgia" w:hAnsi="Georgia" w:cs="Times New Roman"/>
          <w:sz w:val="24"/>
          <w:szCs w:val="24"/>
        </w:rPr>
        <w:lastRenderedPageBreak/>
        <w:t xml:space="preserve">Előfordulhat ugyanis, hogy a vállalatok az egyes kérdéseket nem a valóságnak megfelelően válaszolják meg, vagy egyáltalán nem adnak ki magukról egy-egy téma kapcsán információt. Hasonlóan az önkéntes beszámolókhoz, itt is megfigyelhető a greenwashing jelensége, hiszen a menedzsmentnek érdekében állhat, hogy a vállalat jobb ESG értékelést kapjon, így ennek </w:t>
      </w:r>
      <w:r w:rsidR="004D25EC" w:rsidRPr="007E723C">
        <w:rPr>
          <w:rFonts w:ascii="Georgia" w:hAnsi="Georgia" w:cs="Times New Roman"/>
          <w:sz w:val="24"/>
          <w:szCs w:val="24"/>
        </w:rPr>
        <w:t xml:space="preserve">érdekében a ténylegesnél szebb képest fest a vállalatról a kérdésekre adott válaszok kozmetikázásával. </w:t>
      </w:r>
    </w:p>
    <w:p w14:paraId="11BDC1F0" w14:textId="77777777" w:rsidR="001B56B6" w:rsidRPr="007E723C" w:rsidRDefault="004D25EC" w:rsidP="001B56B6">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A Bloomberg módszertani tájékoztatója csekély információt szolgáltat arra vonatkozóan, hogy milyen forrásokból származnak a minősítéshez felhasznált adatok. Azt azonban kiemeli a Bloomberg, hogy az értékelés során kvalitatív és kvantitatív adatokra egyaránt támaszkodnak. A kérdés csupán az, hogy milyen arányban.</w:t>
      </w:r>
      <w:r w:rsidR="00B0302C" w:rsidRPr="007E723C">
        <w:rPr>
          <w:rFonts w:ascii="Georgia" w:hAnsi="Georgia" w:cs="Times New Roman"/>
          <w:sz w:val="24"/>
          <w:szCs w:val="24"/>
        </w:rPr>
        <w:t xml:space="preserve"> </w:t>
      </w:r>
    </w:p>
    <w:p w14:paraId="64FEAF3D" w14:textId="6BA0C54B" w:rsidR="008E6515" w:rsidRPr="007E723C" w:rsidRDefault="00B0302C" w:rsidP="00E73C75">
      <w:pPr>
        <w:spacing w:line="360" w:lineRule="auto"/>
        <w:ind w:firstLine="709"/>
        <w:jc w:val="both"/>
        <w:rPr>
          <w:rFonts w:ascii="Georgia" w:hAnsi="Georgia" w:cs="Times New Roman"/>
          <w:sz w:val="24"/>
          <w:szCs w:val="24"/>
        </w:rPr>
      </w:pPr>
      <w:r w:rsidRPr="007E723C">
        <w:rPr>
          <w:rFonts w:ascii="Georgia" w:hAnsi="Georgia" w:cs="Times New Roman"/>
          <w:sz w:val="24"/>
          <w:szCs w:val="24"/>
        </w:rPr>
        <w:t xml:space="preserve">A fent leírtakból jól látszik, hogy a különböző ESG minősítők más-más forrásból származó információkra támaszkodnak. Megbízhatóság szempontjából azonban az is lényeges, hogy ezeket az adatok milyen súlyozással veszik figyelembe. Vannak ugyanis olyan minősítő társaságok, amelyek nagyobb hangsúlyt fektetnek a belső információkra (kérdőívek, belsős dokumentumok), </w:t>
      </w:r>
      <w:r w:rsidR="008E6515" w:rsidRPr="007E723C">
        <w:rPr>
          <w:rFonts w:ascii="Georgia" w:hAnsi="Georgia" w:cs="Times New Roman"/>
          <w:sz w:val="24"/>
          <w:szCs w:val="24"/>
        </w:rPr>
        <w:t>mint például a S&amp;P, illetve a CDP. Míg más ESG értékelést végző társaságok inkább a vállalattól független külső információkat helyezik előtérbe (pl.: média).</w:t>
      </w:r>
      <w:r w:rsidR="008C029A" w:rsidRPr="007E723C">
        <w:rPr>
          <w:rFonts w:ascii="Georgia" w:hAnsi="Georgia" w:cs="Times New Roman"/>
          <w:sz w:val="24"/>
          <w:szCs w:val="24"/>
        </w:rPr>
        <w:t xml:space="preserve"> A Bloomberg különleges abból a szempontból, hogy mind belső, mind külső adatokra is egyaránt támaszkodik, azonban a súlyozásnál arra törekszenek, hogy csökkentsék a kvalitatív adatok esetleges torzító hatását oly módon, hogy ezeknek az adatoknak a súlyozását az aggregálás során 80%-kal csökkentik.</w:t>
      </w:r>
    </w:p>
    <w:p w14:paraId="42F297D2" w14:textId="525ED5BE" w:rsidR="00DC5EBD" w:rsidRPr="007E723C" w:rsidRDefault="008E6515" w:rsidP="00C05923">
      <w:pPr>
        <w:spacing w:after="0" w:line="360" w:lineRule="auto"/>
        <w:ind w:firstLine="709"/>
        <w:jc w:val="both"/>
        <w:rPr>
          <w:rFonts w:ascii="Georgia" w:hAnsi="Georgia" w:cs="Times New Roman"/>
          <w:b/>
          <w:bCs/>
          <w:sz w:val="24"/>
          <w:szCs w:val="24"/>
        </w:rPr>
      </w:pPr>
      <w:r w:rsidRPr="007E723C">
        <w:rPr>
          <w:rFonts w:ascii="Georgia" w:hAnsi="Georgia" w:cs="Times New Roman"/>
          <w:b/>
          <w:bCs/>
          <w:sz w:val="24"/>
          <w:szCs w:val="24"/>
        </w:rPr>
        <w:t xml:space="preserve">Indikátorok </w:t>
      </w:r>
    </w:p>
    <w:p w14:paraId="3164A1D7" w14:textId="6B1355CD" w:rsidR="00C05923" w:rsidRPr="007E723C" w:rsidRDefault="00DC5EBD" w:rsidP="00C05923">
      <w:pPr>
        <w:spacing w:after="0" w:line="360" w:lineRule="auto"/>
        <w:ind w:firstLine="709"/>
        <w:jc w:val="both"/>
        <w:rPr>
          <w:rFonts w:ascii="Georgia" w:hAnsi="Georgia" w:cs="Times New Roman"/>
          <w:sz w:val="24"/>
          <w:szCs w:val="24"/>
        </w:rPr>
      </w:pPr>
      <w:r w:rsidRPr="007E723C">
        <w:rPr>
          <w:rFonts w:ascii="Georgia" w:hAnsi="Georgia" w:cs="Times New Roman"/>
          <w:sz w:val="24"/>
          <w:szCs w:val="24"/>
        </w:rPr>
        <w:t>Kutatás</w:t>
      </w:r>
      <w:r w:rsidR="00FE54A6">
        <w:rPr>
          <w:rFonts w:ascii="Georgia" w:hAnsi="Georgia" w:cs="Times New Roman"/>
          <w:sz w:val="24"/>
          <w:szCs w:val="24"/>
        </w:rPr>
        <w:t>un</w:t>
      </w:r>
      <w:r w:rsidRPr="007E723C">
        <w:rPr>
          <w:rFonts w:ascii="Georgia" w:hAnsi="Georgia" w:cs="Times New Roman"/>
          <w:sz w:val="24"/>
          <w:szCs w:val="24"/>
        </w:rPr>
        <w:t xml:space="preserve"> során megvizsgált</w:t>
      </w:r>
      <w:r w:rsidR="00FE54A6">
        <w:rPr>
          <w:rFonts w:ascii="Georgia" w:hAnsi="Georgia" w:cs="Times New Roman"/>
          <w:sz w:val="24"/>
          <w:szCs w:val="24"/>
        </w:rPr>
        <w:t>uk</w:t>
      </w:r>
      <w:r w:rsidRPr="007E723C">
        <w:rPr>
          <w:rFonts w:ascii="Georgia" w:hAnsi="Georgia" w:cs="Times New Roman"/>
          <w:sz w:val="24"/>
          <w:szCs w:val="24"/>
        </w:rPr>
        <w:t xml:space="preserve"> azt is, hogy az egyes ESG minősítést végző társaságok hány indikátorral dolgoznak</w:t>
      </w:r>
      <w:r w:rsidR="00FE54A6">
        <w:rPr>
          <w:rFonts w:ascii="Georgia" w:hAnsi="Georgia" w:cs="Times New Roman"/>
          <w:sz w:val="24"/>
          <w:szCs w:val="24"/>
        </w:rPr>
        <w:t>,</w:t>
      </w:r>
      <w:r w:rsidRPr="007E723C">
        <w:rPr>
          <w:rFonts w:ascii="Georgia" w:hAnsi="Georgia" w:cs="Times New Roman"/>
          <w:sz w:val="24"/>
          <w:szCs w:val="24"/>
        </w:rPr>
        <w:t xml:space="preserve"> és ezek segítségével a fenntarthatóságon belül milyen témaköröket fednek le. Ennek megértése azért is fontos, mert a szolgáltatók által kikalkulált pontszámok között eltérést okozhat, ha különböző témákat különböző mélységben mérnek fel az értékelés során. </w:t>
      </w:r>
    </w:p>
    <w:p w14:paraId="3437B376" w14:textId="60CF4207" w:rsidR="00F42BDC" w:rsidRDefault="00DC5EBD" w:rsidP="00F42BDC">
      <w:pPr>
        <w:spacing w:line="360" w:lineRule="auto"/>
        <w:ind w:firstLine="709"/>
        <w:jc w:val="both"/>
        <w:rPr>
          <w:rFonts w:ascii="Georgia" w:hAnsi="Georgia" w:cs="Times New Roman"/>
          <w:iCs/>
          <w:sz w:val="24"/>
          <w:szCs w:val="24"/>
        </w:rPr>
      </w:pPr>
      <w:r w:rsidRPr="007E723C">
        <w:rPr>
          <w:rFonts w:ascii="Georgia" w:hAnsi="Georgia" w:cs="Times New Roman"/>
          <w:sz w:val="24"/>
          <w:szCs w:val="24"/>
        </w:rPr>
        <w:t xml:space="preserve">Az értékelési módszertanok összehasonlításából kiderült, hogy a felhasznált indikátorok száma alapján három csoportba lehet sorolni a minősítőket. </w:t>
      </w:r>
      <w:r w:rsidR="00C05923" w:rsidRPr="007E723C">
        <w:rPr>
          <w:rFonts w:ascii="Georgia" w:hAnsi="Georgia" w:cs="Times New Roman"/>
          <w:sz w:val="24"/>
          <w:szCs w:val="24"/>
        </w:rPr>
        <w:t>A S&amp;P alkotja azoknak az ESG szolgáltatóknak a csoportját, akik viszonylag kevés indikátor segítségével mérik fel a vállalatok fenntarthatósági teljesítményét.</w:t>
      </w:r>
      <w:r w:rsidR="008C0D30" w:rsidRPr="007E723C">
        <w:rPr>
          <w:rFonts w:ascii="Georgia" w:hAnsi="Georgia" w:cs="Times New Roman"/>
          <w:sz w:val="24"/>
          <w:szCs w:val="24"/>
        </w:rPr>
        <w:t xml:space="preserve"> Vannak olyan minősítők, akik már valamivel több, 300-400 </w:t>
      </w:r>
      <w:r w:rsidR="008C0D30" w:rsidRPr="007E723C">
        <w:rPr>
          <w:rFonts w:ascii="Georgia" w:hAnsi="Georgia" w:cs="Times New Roman"/>
          <w:sz w:val="24"/>
          <w:szCs w:val="24"/>
        </w:rPr>
        <w:lastRenderedPageBreak/>
        <w:t>indikátort használnak az ESG pontszám meghatározásához. Ilyen ESG minősítést végző társaság az MSC</w:t>
      </w:r>
      <w:r w:rsidR="008C0D30" w:rsidRPr="007E723C">
        <w:rPr>
          <w:rFonts w:ascii="Georgia" w:hAnsi="Georgia" w:cs="Times New Roman"/>
          <w:iCs/>
          <w:sz w:val="24"/>
          <w:szCs w:val="24"/>
        </w:rPr>
        <w:t xml:space="preserve">I, a Sustainalytics és az FTSE Russell. A harmadik kategória esetében már jóval több, akár 700-at is meghaladó indikátorszámról beszélhetünk, amely a Refinitiv, az ISS és a Bloomberg által alkalmazott módszertanra jellemző. </w:t>
      </w:r>
      <w:r w:rsidR="008C029A" w:rsidRPr="007E723C">
        <w:rPr>
          <w:rFonts w:ascii="Georgia" w:hAnsi="Georgia" w:cs="Times New Roman"/>
          <w:iCs/>
          <w:sz w:val="24"/>
          <w:szCs w:val="24"/>
        </w:rPr>
        <w:t xml:space="preserve">Ez a nagy szám annak is köszönhető, hogy az ISS például külön kiemeli, hogy az ESG három dimenziójára vonatkozó indikátorokon túl </w:t>
      </w:r>
      <w:r w:rsidR="00F851EE">
        <w:rPr>
          <w:rFonts w:ascii="Georgia" w:hAnsi="Georgia" w:cs="Times New Roman"/>
          <w:iCs/>
          <w:noProof/>
          <w:sz w:val="24"/>
          <w:szCs w:val="24"/>
          <w:lang w:eastAsia="hu-HU"/>
        </w:rPr>
        <w:drawing>
          <wp:anchor distT="0" distB="0" distL="114300" distR="114300" simplePos="0" relativeHeight="251701248" behindDoc="0" locked="0" layoutInCell="1" allowOverlap="1" wp14:anchorId="388BEB47" wp14:editId="64FC6A73">
            <wp:simplePos x="0" y="0"/>
            <wp:positionH relativeFrom="column">
              <wp:posOffset>-33655</wp:posOffset>
            </wp:positionH>
            <wp:positionV relativeFrom="paragraph">
              <wp:posOffset>1858010</wp:posOffset>
            </wp:positionV>
            <wp:extent cx="5399405" cy="2986405"/>
            <wp:effectExtent l="0" t="0" r="0" b="4445"/>
            <wp:wrapTopAndBottom/>
            <wp:docPr id="48" name="Picture 4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alenda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99405" cy="2986405"/>
                    </a:xfrm>
                    <a:prstGeom prst="rect">
                      <a:avLst/>
                    </a:prstGeom>
                  </pic:spPr>
                </pic:pic>
              </a:graphicData>
            </a:graphic>
            <wp14:sizeRelH relativeFrom="page">
              <wp14:pctWidth>0</wp14:pctWidth>
            </wp14:sizeRelH>
            <wp14:sizeRelV relativeFrom="page">
              <wp14:pctHeight>0</wp14:pctHeight>
            </wp14:sizeRelV>
          </wp:anchor>
        </w:drawing>
      </w:r>
      <w:r w:rsidR="008C029A" w:rsidRPr="007E723C">
        <w:rPr>
          <w:rFonts w:ascii="Georgia" w:hAnsi="Georgia" w:cs="Times New Roman"/>
          <w:iCs/>
          <w:sz w:val="24"/>
          <w:szCs w:val="24"/>
        </w:rPr>
        <w:t>számos iparágspecifikus mutatószámot is használnak a minősítés során.</w:t>
      </w:r>
    </w:p>
    <w:p w14:paraId="48E68D64" w14:textId="02056FF2" w:rsidR="005B6C8E" w:rsidRPr="00952BD3" w:rsidRDefault="005B6C8E" w:rsidP="00FF7AC9">
      <w:pPr>
        <w:pStyle w:val="Listaszerbekezds"/>
        <w:numPr>
          <w:ilvl w:val="0"/>
          <w:numId w:val="5"/>
        </w:numPr>
        <w:spacing w:line="360" w:lineRule="auto"/>
        <w:jc w:val="center"/>
        <w:rPr>
          <w:rFonts w:ascii="Georgia" w:hAnsi="Georgia" w:cs="Times New Roman"/>
          <w:i/>
          <w:iCs/>
          <w:sz w:val="20"/>
          <w:szCs w:val="20"/>
        </w:rPr>
      </w:pPr>
      <w:r w:rsidRPr="00952BD3">
        <w:rPr>
          <w:rFonts w:ascii="Georgia" w:hAnsi="Georgia" w:cs="Times New Roman"/>
          <w:b/>
          <w:bCs/>
          <w:i/>
          <w:iCs/>
          <w:sz w:val="20"/>
          <w:szCs w:val="20"/>
        </w:rPr>
        <w:t>táblázat</w:t>
      </w:r>
      <w:r w:rsidRPr="00952BD3">
        <w:rPr>
          <w:rFonts w:ascii="Georgia" w:hAnsi="Georgia" w:cs="Times New Roman"/>
          <w:i/>
          <w:iCs/>
          <w:sz w:val="20"/>
          <w:szCs w:val="20"/>
        </w:rPr>
        <w:t xml:space="preserve">: A </w:t>
      </w:r>
      <w:r w:rsidR="00952BD3">
        <w:rPr>
          <w:rFonts w:ascii="Georgia" w:hAnsi="Georgia" w:cs="Times New Roman"/>
          <w:i/>
          <w:iCs/>
          <w:sz w:val="20"/>
          <w:szCs w:val="20"/>
        </w:rPr>
        <w:t xml:space="preserve">vizsgált </w:t>
      </w:r>
      <w:r w:rsidRPr="00952BD3">
        <w:rPr>
          <w:rFonts w:ascii="Georgia" w:hAnsi="Georgia" w:cs="Times New Roman"/>
          <w:i/>
          <w:iCs/>
          <w:sz w:val="20"/>
          <w:szCs w:val="20"/>
        </w:rPr>
        <w:t>minősítők által lefedett témakörök</w:t>
      </w:r>
    </w:p>
    <w:p w14:paraId="4FCB0FC4" w14:textId="77777777" w:rsidR="005B6C8E" w:rsidRPr="00952BD3" w:rsidRDefault="005B6C8E" w:rsidP="005B6C8E">
      <w:pPr>
        <w:pStyle w:val="Listaszerbekezds"/>
        <w:spacing w:line="360" w:lineRule="auto"/>
        <w:jc w:val="center"/>
        <w:rPr>
          <w:rFonts w:ascii="Georgia" w:hAnsi="Georgia" w:cs="Times New Roman"/>
          <w:i/>
          <w:iCs/>
          <w:sz w:val="20"/>
          <w:szCs w:val="20"/>
        </w:rPr>
      </w:pPr>
      <w:r w:rsidRPr="00952BD3">
        <w:rPr>
          <w:rFonts w:ascii="Georgia" w:hAnsi="Georgia" w:cs="Times New Roman"/>
          <w:i/>
          <w:iCs/>
          <w:sz w:val="20"/>
          <w:szCs w:val="20"/>
        </w:rPr>
        <w:t>Forrás: saját szerkesztés</w:t>
      </w:r>
    </w:p>
    <w:p w14:paraId="23AB8AF6" w14:textId="35395304" w:rsidR="00973621" w:rsidRDefault="00D4664F" w:rsidP="00973621">
      <w:pPr>
        <w:spacing w:after="0" w:line="360" w:lineRule="auto"/>
        <w:ind w:firstLine="709"/>
        <w:jc w:val="both"/>
        <w:rPr>
          <w:rFonts w:ascii="Georgia" w:hAnsi="Georgia" w:cs="Times New Roman"/>
          <w:iCs/>
          <w:sz w:val="24"/>
          <w:szCs w:val="24"/>
        </w:rPr>
      </w:pPr>
      <w:r w:rsidRPr="007E723C">
        <w:rPr>
          <w:rFonts w:ascii="Georgia" w:hAnsi="Georgia" w:cs="Times New Roman"/>
          <w:iCs/>
          <w:sz w:val="24"/>
          <w:szCs w:val="24"/>
        </w:rPr>
        <w:t>A felhasznált indikátorok mellett lényeges kérdés az is, hogy az egyes minősítést végző társaságok ezekkel az mutatókkal milyen főbb fenntarthatósági témakört fednek le. A</w:t>
      </w:r>
      <w:r w:rsidR="00333D78">
        <w:rPr>
          <w:rFonts w:ascii="Georgia" w:hAnsi="Georgia" w:cs="Times New Roman"/>
          <w:iCs/>
          <w:sz w:val="24"/>
          <w:szCs w:val="24"/>
        </w:rPr>
        <w:t xml:space="preserve"> </w:t>
      </w:r>
      <w:r w:rsidR="00333D78" w:rsidRPr="00333D78">
        <w:rPr>
          <w:rFonts w:ascii="Georgia" w:hAnsi="Georgia" w:cs="Times New Roman"/>
          <w:iCs/>
          <w:sz w:val="24"/>
          <w:szCs w:val="24"/>
        </w:rPr>
        <w:t>12.</w:t>
      </w:r>
      <w:r w:rsidRPr="00333D78">
        <w:rPr>
          <w:rFonts w:ascii="Georgia" w:hAnsi="Georgia" w:cs="Times New Roman"/>
          <w:iCs/>
          <w:sz w:val="24"/>
          <w:szCs w:val="24"/>
        </w:rPr>
        <w:t xml:space="preserve"> táblázat</w:t>
      </w:r>
      <w:r w:rsidRPr="007E723C">
        <w:rPr>
          <w:rFonts w:ascii="Georgia" w:hAnsi="Georgia" w:cs="Times New Roman"/>
          <w:iCs/>
          <w:sz w:val="24"/>
          <w:szCs w:val="24"/>
        </w:rPr>
        <w:t xml:space="preserve"> jól szemlélteti, hogy az ESG egyes dimenziói esetében eltéréseket lehet találni a vizsgált témakörök tekintetében. A környezeti tényezőre vonatkozóan elmondható, hogy a vizsgált minősítő társaságok többsége a</w:t>
      </w:r>
      <w:r w:rsidR="001D02C4" w:rsidRPr="007E723C">
        <w:rPr>
          <w:rFonts w:ascii="Georgia" w:hAnsi="Georgia" w:cs="Times New Roman"/>
          <w:iCs/>
          <w:sz w:val="24"/>
          <w:szCs w:val="24"/>
        </w:rPr>
        <w:t xml:space="preserve"> klímaváltozás, a</w:t>
      </w:r>
      <w:r w:rsidRPr="007E723C">
        <w:rPr>
          <w:rFonts w:ascii="Georgia" w:hAnsi="Georgia" w:cs="Times New Roman"/>
          <w:iCs/>
          <w:sz w:val="24"/>
          <w:szCs w:val="24"/>
        </w:rPr>
        <w:t xml:space="preserve"> biodiverzitás</w:t>
      </w:r>
      <w:r w:rsidR="001D02C4" w:rsidRPr="007E723C">
        <w:rPr>
          <w:rFonts w:ascii="Georgia" w:hAnsi="Georgia" w:cs="Times New Roman"/>
          <w:iCs/>
          <w:sz w:val="24"/>
          <w:szCs w:val="24"/>
        </w:rPr>
        <w:t xml:space="preserve">, a vízbiztonság, a felhasznált erőforrások és a hulladékok témakörét tekinti leginkább relevánsnak. Míg az energiagazdálkodás, a légszennyezés, illetve a környezeti lehetőségek csak a vizsgált minősítők egy kisebb részének módszertanában jelenik meg. A társadalmi tényező tekintetében az egészség, biztonság, az emberi jogok, a termékfelelősség és a beszállítók kérdésköre jelenik meg. Vagyis a vizsgált módszertanok inkább a vállalat belső érintettjeinek </w:t>
      </w:r>
      <w:r w:rsidR="00174FB5" w:rsidRPr="007E723C">
        <w:rPr>
          <w:rFonts w:ascii="Georgia" w:hAnsi="Georgia" w:cs="Times New Roman"/>
          <w:iCs/>
          <w:sz w:val="24"/>
          <w:szCs w:val="24"/>
        </w:rPr>
        <w:t xml:space="preserve">szociális problémáival foglalkoznak és kisebb hangsúly helyeződik a külső érintettekre. A vállalatirányítási szempont esetében az előző két </w:t>
      </w:r>
      <w:r w:rsidR="00174FB5" w:rsidRPr="007E723C">
        <w:rPr>
          <w:rFonts w:ascii="Georgia" w:hAnsi="Georgia" w:cs="Times New Roman"/>
          <w:iCs/>
          <w:sz w:val="24"/>
          <w:szCs w:val="24"/>
        </w:rPr>
        <w:lastRenderedPageBreak/>
        <w:t xml:space="preserve">dimenzióhoz képest jóval élesebb eltérések figyelhetők meg. A táblázat is jól mutatja, hogy a vizsgált témakörök közül az ESG minősítés végző társaságok között egyedül a vezetői szerepekhez köthető mutatókat használta terjedt el leginkább. Emellett még az üzleti etika témakörét érdemes megemlíteni, melyet a vizsgált minősítők több, mint fele figyelembe vesz. Míg az adózás kérdésköre csupán két minősítő módszertanának </w:t>
      </w:r>
      <w:r w:rsidR="002800EC" w:rsidRPr="007E723C">
        <w:rPr>
          <w:rFonts w:ascii="Georgia" w:hAnsi="Georgia" w:cs="Times New Roman"/>
          <w:iCs/>
          <w:sz w:val="24"/>
          <w:szCs w:val="24"/>
        </w:rPr>
        <w:t xml:space="preserve">a része. </w:t>
      </w:r>
    </w:p>
    <w:p w14:paraId="428A9FCD" w14:textId="30C18F7E" w:rsidR="00973621" w:rsidRPr="00973621" w:rsidRDefault="00103593" w:rsidP="00973621">
      <w:pPr>
        <w:spacing w:line="360" w:lineRule="auto"/>
        <w:ind w:firstLine="709"/>
        <w:jc w:val="both"/>
        <w:rPr>
          <w:rFonts w:ascii="Georgia" w:hAnsi="Georgia" w:cs="Times New Roman"/>
          <w:iCs/>
          <w:sz w:val="24"/>
          <w:szCs w:val="24"/>
        </w:rPr>
      </w:pPr>
      <w:r w:rsidRPr="007E723C">
        <w:rPr>
          <w:rFonts w:ascii="Georgia" w:hAnsi="Georgia" w:cs="Times New Roman"/>
          <w:iCs/>
          <w:sz w:val="24"/>
          <w:szCs w:val="24"/>
        </w:rPr>
        <w:t xml:space="preserve">A </w:t>
      </w:r>
      <w:r w:rsidR="003B13CB" w:rsidRPr="007E723C">
        <w:rPr>
          <w:rFonts w:ascii="Georgia" w:hAnsi="Georgia" w:cs="Times New Roman"/>
          <w:iCs/>
          <w:sz w:val="24"/>
          <w:szCs w:val="24"/>
        </w:rPr>
        <w:t>fenti</w:t>
      </w:r>
      <w:r w:rsidRPr="007E723C">
        <w:rPr>
          <w:rFonts w:ascii="Georgia" w:hAnsi="Georgia" w:cs="Times New Roman"/>
          <w:iCs/>
          <w:sz w:val="24"/>
          <w:szCs w:val="24"/>
        </w:rPr>
        <w:t xml:space="preserve"> táblázat felhívja a figyelmet arra is, hogy a minősítők között eltérés</w:t>
      </w:r>
      <w:r w:rsidR="00035E85" w:rsidRPr="007E723C">
        <w:rPr>
          <w:rFonts w:ascii="Georgia" w:hAnsi="Georgia" w:cs="Times New Roman"/>
          <w:iCs/>
          <w:sz w:val="24"/>
          <w:szCs w:val="24"/>
        </w:rPr>
        <w:t xml:space="preserve"> található </w:t>
      </w:r>
      <w:r w:rsidRPr="007E723C">
        <w:rPr>
          <w:rFonts w:ascii="Georgia" w:hAnsi="Georgia" w:cs="Times New Roman"/>
          <w:iCs/>
          <w:sz w:val="24"/>
          <w:szCs w:val="24"/>
        </w:rPr>
        <w:t xml:space="preserve">a lefedett témakörök száma </w:t>
      </w:r>
      <w:r w:rsidR="00035E85" w:rsidRPr="007E723C">
        <w:rPr>
          <w:rFonts w:ascii="Georgia" w:hAnsi="Georgia" w:cs="Times New Roman"/>
          <w:iCs/>
          <w:sz w:val="24"/>
          <w:szCs w:val="24"/>
        </w:rPr>
        <w:t xml:space="preserve">mentén </w:t>
      </w:r>
      <w:r w:rsidRPr="007E723C">
        <w:rPr>
          <w:rFonts w:ascii="Georgia" w:hAnsi="Georgia" w:cs="Times New Roman"/>
          <w:iCs/>
          <w:sz w:val="24"/>
          <w:szCs w:val="24"/>
        </w:rPr>
        <w:t xml:space="preserve">is. Általánosságban elmondható, hogy egy minősítő társaság nagyjából 15-16 fenntarthatósággal kapcsolatos témát vizsgál. Ezzel szemben az ISS csupán 9 kérdéskört vesz figyelembe. Fontos azonban kiemelni, hogy ezek többnyire azok a témák, amelyeket egyébként a legtöbb minősítő </w:t>
      </w:r>
      <w:r w:rsidR="00035E85" w:rsidRPr="007E723C">
        <w:rPr>
          <w:rFonts w:ascii="Georgia" w:hAnsi="Georgia" w:cs="Times New Roman"/>
          <w:iCs/>
          <w:sz w:val="24"/>
          <w:szCs w:val="24"/>
        </w:rPr>
        <w:t xml:space="preserve">is </w:t>
      </w:r>
      <w:r w:rsidRPr="007E723C">
        <w:rPr>
          <w:rFonts w:ascii="Georgia" w:hAnsi="Georgia" w:cs="Times New Roman"/>
          <w:iCs/>
          <w:sz w:val="24"/>
          <w:szCs w:val="24"/>
        </w:rPr>
        <w:t xml:space="preserve">alkalmaz. </w:t>
      </w:r>
    </w:p>
    <w:p w14:paraId="19A67204" w14:textId="74141C32" w:rsidR="008C029A" w:rsidRPr="007E723C" w:rsidRDefault="008C029A" w:rsidP="00BB70F0">
      <w:pPr>
        <w:spacing w:after="0" w:line="360" w:lineRule="auto"/>
        <w:ind w:firstLine="709"/>
        <w:jc w:val="both"/>
        <w:rPr>
          <w:rFonts w:ascii="Georgia" w:hAnsi="Georgia" w:cs="Times New Roman"/>
          <w:b/>
          <w:bCs/>
          <w:iCs/>
          <w:sz w:val="24"/>
          <w:szCs w:val="24"/>
        </w:rPr>
      </w:pPr>
      <w:r w:rsidRPr="007E723C">
        <w:rPr>
          <w:rFonts w:ascii="Georgia" w:hAnsi="Georgia" w:cs="Times New Roman"/>
          <w:b/>
          <w:bCs/>
          <w:iCs/>
          <w:sz w:val="24"/>
          <w:szCs w:val="24"/>
        </w:rPr>
        <w:t>Súlyozás</w:t>
      </w:r>
    </w:p>
    <w:p w14:paraId="40E2696A" w14:textId="5BD9122D" w:rsidR="00B440BD" w:rsidRPr="007E723C" w:rsidRDefault="004220FA" w:rsidP="00B440BD">
      <w:pPr>
        <w:spacing w:after="0" w:line="360" w:lineRule="auto"/>
        <w:ind w:firstLine="709"/>
        <w:jc w:val="both"/>
        <w:rPr>
          <w:rFonts w:ascii="Georgia" w:hAnsi="Georgia" w:cs="Times New Roman"/>
          <w:b/>
          <w:bCs/>
          <w:iCs/>
          <w:color w:val="C00000"/>
          <w:sz w:val="24"/>
          <w:szCs w:val="24"/>
        </w:rPr>
      </w:pPr>
      <w:r w:rsidRPr="007E723C">
        <w:rPr>
          <w:rFonts w:ascii="Georgia" w:hAnsi="Georgia" w:cs="Times New Roman"/>
          <w:iCs/>
          <w:sz w:val="24"/>
          <w:szCs w:val="24"/>
        </w:rPr>
        <w:t xml:space="preserve">A felhasznált indikátorokon és a fenntarthatóság különböző területeinek figyelembevételén túl az ESG minősítésekhez fűződő módszertanok abban is különbözőséget mutatnak, hogy milyen módon kerül sor az egyes mutatószámok összesítésére és ezáltal a végső </w:t>
      </w:r>
      <w:r w:rsidR="00BB70F0" w:rsidRPr="007E723C">
        <w:rPr>
          <w:rFonts w:ascii="Georgia" w:hAnsi="Georgia" w:cs="Times New Roman"/>
          <w:iCs/>
          <w:sz w:val="24"/>
          <w:szCs w:val="24"/>
        </w:rPr>
        <w:t>pillérenkénti, illetve aggregált pontszámok kiszámítására.</w:t>
      </w:r>
      <w:r w:rsidR="00977896" w:rsidRPr="007E723C">
        <w:rPr>
          <w:rFonts w:ascii="Georgia" w:hAnsi="Georgia" w:cs="Times New Roman"/>
          <w:iCs/>
          <w:sz w:val="24"/>
          <w:szCs w:val="24"/>
        </w:rPr>
        <w:t xml:space="preserve"> Az egyes ESG minősítést végző társaságok mérési módszertanának áttekintése alapján elmondható, hogy alapvetően az összes vizsgált szolgáltató a súlyozott átlagolás módszerével határozza meg a végső ESG pontszámot. Az egyik legfőbb eltérés</w:t>
      </w:r>
      <w:r w:rsidR="001B56B6" w:rsidRPr="007E723C">
        <w:rPr>
          <w:rFonts w:ascii="Georgia" w:hAnsi="Georgia" w:cs="Times New Roman"/>
          <w:iCs/>
          <w:sz w:val="24"/>
          <w:szCs w:val="24"/>
        </w:rPr>
        <w:t>t</w:t>
      </w:r>
      <w:r w:rsidR="00977896" w:rsidRPr="007E723C">
        <w:rPr>
          <w:rFonts w:ascii="Georgia" w:hAnsi="Georgia" w:cs="Times New Roman"/>
          <w:iCs/>
          <w:sz w:val="24"/>
          <w:szCs w:val="24"/>
        </w:rPr>
        <w:t xml:space="preserve"> azonban az adja, hogy egy adott minősítő mit tekint lényeges, releváns fenntarthatósági témának. </w:t>
      </w:r>
      <w:r w:rsidR="00FB5F50" w:rsidRPr="007E723C">
        <w:rPr>
          <w:rFonts w:ascii="Georgia" w:hAnsi="Georgia" w:cs="Times New Roman"/>
          <w:iCs/>
          <w:sz w:val="24"/>
          <w:szCs w:val="24"/>
        </w:rPr>
        <w:t xml:space="preserve">Az MSCI módszertana szerint, akkor tekintenek egy témát relevánsnak, </w:t>
      </w:r>
      <w:r w:rsidR="00FD6345" w:rsidRPr="007E723C">
        <w:rPr>
          <w:rFonts w:ascii="Georgia" w:hAnsi="Georgia" w:cs="Times New Roman"/>
          <w:iCs/>
          <w:sz w:val="24"/>
          <w:szCs w:val="24"/>
        </w:rPr>
        <w:t>ha azzal összefüggésben jelentős költségek merülhetnek fel, vagy hozzájárul a bevételek gyarapodásához. Ezzel szemben a Sustainalytics akkor tekint egy témakört lényegesnek az adott vállalat szempontjából, ha ahhoz valamilyen vezetői kezdeményezés, vagy felügyelet társul. A S&amp;P aszerint dönti el az ESG-vel kapcsolatos témakörök materialitását, hogy iparáganként felméri az adott probléma lehetséges hatását és annak bekövetkezési valószínűségét.</w:t>
      </w:r>
      <w:r w:rsidR="007D551E" w:rsidRPr="007E723C">
        <w:rPr>
          <w:rFonts w:ascii="Georgia" w:hAnsi="Georgia" w:cs="Times New Roman"/>
          <w:iCs/>
          <w:sz w:val="24"/>
          <w:szCs w:val="24"/>
        </w:rPr>
        <w:t xml:space="preserve"> Ezzel szemben az FTSE Russell egy Iparági Klasszifikációs Index (ICB)</w:t>
      </w:r>
      <w:r w:rsidR="006E265B" w:rsidRPr="007E723C">
        <w:rPr>
          <w:rFonts w:ascii="Georgia" w:hAnsi="Georgia" w:cs="Times New Roman"/>
          <w:iCs/>
          <w:sz w:val="24"/>
          <w:szCs w:val="24"/>
        </w:rPr>
        <w:t>, a Refinitiv az úgynevezett Materialitás Mátrix, míg az ISS az Iparági Klasszifikációs Mátrix</w:t>
      </w:r>
      <w:r w:rsidR="007D551E" w:rsidRPr="007E723C">
        <w:rPr>
          <w:rFonts w:ascii="Georgia" w:hAnsi="Georgia" w:cs="Times New Roman"/>
          <w:iCs/>
          <w:sz w:val="24"/>
          <w:szCs w:val="24"/>
        </w:rPr>
        <w:t xml:space="preserve"> segítségével vizsgálja meg az adott téma relevanciáját. </w:t>
      </w:r>
      <w:r w:rsidR="00FD6345" w:rsidRPr="007E723C">
        <w:rPr>
          <w:rFonts w:ascii="Georgia" w:hAnsi="Georgia" w:cs="Times New Roman"/>
          <w:iCs/>
          <w:sz w:val="24"/>
          <w:szCs w:val="24"/>
        </w:rPr>
        <w:t xml:space="preserve"> </w:t>
      </w:r>
      <w:r w:rsidR="007D551E" w:rsidRPr="007E723C">
        <w:rPr>
          <w:rFonts w:ascii="Georgia" w:hAnsi="Georgia" w:cs="Times New Roman"/>
          <w:iCs/>
          <w:sz w:val="24"/>
          <w:szCs w:val="24"/>
        </w:rPr>
        <w:t>Jól látszik tehát, hogy az</w:t>
      </w:r>
      <w:r w:rsidR="00977896" w:rsidRPr="007E723C">
        <w:rPr>
          <w:rFonts w:ascii="Georgia" w:hAnsi="Georgia" w:cs="Times New Roman"/>
          <w:iCs/>
          <w:sz w:val="24"/>
          <w:szCs w:val="24"/>
        </w:rPr>
        <w:t xml:space="preserve"> egyes ESG tényezők relevanciája iparáganként eltérő lehet, így a súlyozás során a hangsúlyosabb fenntarthatósági </w:t>
      </w:r>
      <w:r w:rsidR="00977896" w:rsidRPr="007E723C">
        <w:rPr>
          <w:rFonts w:ascii="Georgia" w:hAnsi="Georgia" w:cs="Times New Roman"/>
          <w:iCs/>
          <w:sz w:val="24"/>
          <w:szCs w:val="24"/>
        </w:rPr>
        <w:lastRenderedPageBreak/>
        <w:t xml:space="preserve">témák jellemzően nagyobb súllyal szerepelnek </w:t>
      </w:r>
      <w:r w:rsidR="002E02E5" w:rsidRPr="007E723C">
        <w:rPr>
          <w:rFonts w:ascii="Georgia" w:hAnsi="Georgia" w:cs="Times New Roman"/>
          <w:iCs/>
          <w:sz w:val="24"/>
          <w:szCs w:val="24"/>
        </w:rPr>
        <w:t>a végső pontszámban. A Refinitiv, az FTSE Russell,</w:t>
      </w:r>
      <w:r w:rsidR="00B440BD" w:rsidRPr="007E723C">
        <w:rPr>
          <w:rFonts w:ascii="Georgia" w:hAnsi="Georgia" w:cs="Times New Roman"/>
          <w:iCs/>
          <w:sz w:val="24"/>
          <w:szCs w:val="24"/>
        </w:rPr>
        <w:t xml:space="preserve"> az ISS,</w:t>
      </w:r>
      <w:r w:rsidR="002E02E5" w:rsidRPr="007E723C">
        <w:rPr>
          <w:rFonts w:ascii="Georgia" w:hAnsi="Georgia" w:cs="Times New Roman"/>
          <w:iCs/>
          <w:sz w:val="24"/>
          <w:szCs w:val="24"/>
        </w:rPr>
        <w:t xml:space="preserve"> a CDP és a Bloomberg is ezt a metodológiát követi. </w:t>
      </w:r>
    </w:p>
    <w:p w14:paraId="664EBCB7" w14:textId="3A4F47C2" w:rsidR="008C029A" w:rsidRPr="007E723C" w:rsidRDefault="002E02E5" w:rsidP="00DC5EBD">
      <w:pPr>
        <w:spacing w:line="360" w:lineRule="auto"/>
        <w:ind w:firstLine="709"/>
        <w:jc w:val="both"/>
        <w:rPr>
          <w:rFonts w:ascii="Georgia" w:hAnsi="Georgia" w:cs="Times New Roman"/>
          <w:iCs/>
          <w:sz w:val="24"/>
          <w:szCs w:val="24"/>
        </w:rPr>
      </w:pPr>
      <w:r w:rsidRPr="007E723C">
        <w:rPr>
          <w:rFonts w:ascii="Georgia" w:hAnsi="Georgia" w:cs="Times New Roman"/>
          <w:iCs/>
          <w:sz w:val="24"/>
          <w:szCs w:val="24"/>
        </w:rPr>
        <w:t>Az MSCI súlyozási módszertana hasonló elveket követve valamelyest speciálisabb. Ezen minősítések esetén az adott iparág többi szereplőjéhez képest vizsgálják meg azt, hogy az adott vállalat mekkora hatással van a környezetre és a társadalomra, illetve figyelembe veszik azt is, hogy ez a hatás rövid vagy hosszú</w:t>
      </w:r>
      <w:r w:rsidR="001B56B6" w:rsidRPr="007E723C">
        <w:rPr>
          <w:rFonts w:ascii="Georgia" w:hAnsi="Georgia" w:cs="Times New Roman"/>
          <w:iCs/>
          <w:sz w:val="24"/>
          <w:szCs w:val="24"/>
        </w:rPr>
        <w:t xml:space="preserve"> </w:t>
      </w:r>
      <w:r w:rsidRPr="007E723C">
        <w:rPr>
          <w:rFonts w:ascii="Georgia" w:hAnsi="Georgia" w:cs="Times New Roman"/>
          <w:iCs/>
          <w:sz w:val="24"/>
          <w:szCs w:val="24"/>
        </w:rPr>
        <w:t xml:space="preserve">távon realizálódik. Ennek eredményeként a súlyok annál magasabbak, minél jelentősebb, rövid távon realizálódó hatásról van szó. Így ebben az esetben egyfajta iparágilag kiigazított súlyozásról beszélhetünk. </w:t>
      </w:r>
    </w:p>
    <w:p w14:paraId="57F26A67" w14:textId="5AAC9FBC" w:rsidR="00B440BD" w:rsidRPr="007E723C" w:rsidRDefault="00B440BD" w:rsidP="00B440BD">
      <w:pPr>
        <w:spacing w:after="0" w:line="360" w:lineRule="auto"/>
        <w:ind w:firstLine="709"/>
        <w:jc w:val="both"/>
        <w:rPr>
          <w:rFonts w:ascii="Georgia" w:hAnsi="Georgia" w:cs="Times New Roman"/>
          <w:b/>
          <w:bCs/>
          <w:iCs/>
          <w:sz w:val="24"/>
          <w:szCs w:val="24"/>
        </w:rPr>
      </w:pPr>
      <w:r w:rsidRPr="007E723C">
        <w:rPr>
          <w:rFonts w:ascii="Georgia" w:hAnsi="Georgia" w:cs="Times New Roman"/>
          <w:b/>
          <w:bCs/>
          <w:iCs/>
          <w:sz w:val="24"/>
          <w:szCs w:val="24"/>
        </w:rPr>
        <w:t>Értékelés</w:t>
      </w:r>
    </w:p>
    <w:p w14:paraId="5CCD8EAA" w14:textId="60387324" w:rsidR="00B440BD" w:rsidRPr="007E723C" w:rsidRDefault="00B440BD" w:rsidP="00B440BD">
      <w:pPr>
        <w:spacing w:line="360" w:lineRule="auto"/>
        <w:ind w:firstLine="709"/>
        <w:jc w:val="both"/>
        <w:rPr>
          <w:rFonts w:ascii="Georgia" w:hAnsi="Georgia" w:cs="Times New Roman"/>
          <w:b/>
          <w:bCs/>
          <w:iCs/>
          <w:color w:val="C00000"/>
          <w:sz w:val="24"/>
          <w:szCs w:val="24"/>
        </w:rPr>
      </w:pPr>
      <w:r w:rsidRPr="007E723C">
        <w:rPr>
          <w:rFonts w:ascii="Georgia" w:hAnsi="Georgia" w:cs="Times New Roman"/>
          <w:iCs/>
          <w:sz w:val="24"/>
          <w:szCs w:val="24"/>
        </w:rPr>
        <w:t xml:space="preserve">Az előzőekben feltárt módszertani bizonytalanságok, különbözőségek mellett </w:t>
      </w:r>
      <w:r w:rsidR="00A8077D" w:rsidRPr="007E723C">
        <w:rPr>
          <w:rFonts w:ascii="Georgia" w:hAnsi="Georgia" w:cs="Times New Roman"/>
          <w:iCs/>
          <w:sz w:val="24"/>
          <w:szCs w:val="24"/>
        </w:rPr>
        <w:t>az ESG minősítések inkonzisztenciáját legfőképp az egyes minősítést végző társaságok által alkalmazott mérési skálák közötti jelentős eltérések okozzák. A kutatás</w:t>
      </w:r>
      <w:r w:rsidR="00FE54A6">
        <w:rPr>
          <w:rFonts w:ascii="Georgia" w:hAnsi="Georgia" w:cs="Times New Roman"/>
          <w:iCs/>
          <w:sz w:val="24"/>
          <w:szCs w:val="24"/>
        </w:rPr>
        <w:t>unk</w:t>
      </w:r>
      <w:r w:rsidR="00A8077D" w:rsidRPr="007E723C">
        <w:rPr>
          <w:rFonts w:ascii="Georgia" w:hAnsi="Georgia" w:cs="Times New Roman"/>
          <w:iCs/>
          <w:sz w:val="24"/>
          <w:szCs w:val="24"/>
        </w:rPr>
        <w:t xml:space="preserve"> során végzett összehasonlító elemzés alapján elmondható, hogy a vizsgált minősítő társaságok teljesen eltérő skálán határozzák meg a vállalatok végső ESG pontszámát, ami rendkívül megtévesztő lehet az információ felhasználói számára.</w:t>
      </w:r>
      <w:r w:rsidR="001A68BC" w:rsidRPr="007E723C">
        <w:rPr>
          <w:rFonts w:ascii="Georgia" w:hAnsi="Georgia" w:cs="Times New Roman"/>
          <w:iCs/>
          <w:sz w:val="24"/>
          <w:szCs w:val="24"/>
        </w:rPr>
        <w:t xml:space="preserve"> Bizonyos ESG minősítők pontozása között azért lehet némi hasonlóságot felfedezni. A Sustainalytics és a S&amp;P például egy 0-tól 100-ig terjedő skálán méri fel a vállalatok fenntarthatósági teljesítményét, míg a Refinitiv és a Bloomberg esetében az ESG pontszámok 0 és 1 közé esnek. A többi vizsgált ESG szolgáltató értékelése teljesen eltérő. Az MSCI egy 0-tól 10-ig terjedő skálán határozza meg a vállalatok ESG teljesítményét, míg az FTSE Russell pontszámai 0 és 5 között adódnak. Ezzel szemben az ISS esetében a legrosszabb teljesítményért 1, míg a legjobb teljesítményért 4 pont jár. A CDP értékelése annyiban speciális, hogy az egyes kérdésekre adott válaszokat </w:t>
      </w:r>
      <w:r w:rsidR="00E51DB2" w:rsidRPr="007E723C">
        <w:rPr>
          <w:rFonts w:ascii="Georgia" w:hAnsi="Georgia" w:cs="Times New Roman"/>
          <w:iCs/>
          <w:sz w:val="24"/>
          <w:szCs w:val="24"/>
        </w:rPr>
        <w:t xml:space="preserve">0 vagy 1 ponttal jutalmazzák. </w:t>
      </w:r>
    </w:p>
    <w:p w14:paraId="24902D62" w14:textId="04338C61" w:rsidR="00E51DB2" w:rsidRPr="007E723C" w:rsidRDefault="009C70A7" w:rsidP="009C70A7">
      <w:pPr>
        <w:spacing w:after="0" w:line="360" w:lineRule="auto"/>
        <w:ind w:firstLine="709"/>
        <w:jc w:val="both"/>
        <w:rPr>
          <w:rFonts w:ascii="Georgia" w:hAnsi="Georgia" w:cs="Times New Roman"/>
          <w:b/>
          <w:bCs/>
          <w:iCs/>
          <w:sz w:val="24"/>
          <w:szCs w:val="24"/>
        </w:rPr>
      </w:pPr>
      <w:r w:rsidRPr="007E723C">
        <w:rPr>
          <w:rFonts w:ascii="Georgia" w:hAnsi="Georgia" w:cs="Times New Roman"/>
          <w:b/>
          <w:bCs/>
          <w:iCs/>
          <w:sz w:val="24"/>
          <w:szCs w:val="24"/>
        </w:rPr>
        <w:t>Pontozási rendszer</w:t>
      </w:r>
    </w:p>
    <w:p w14:paraId="489D1BA3" w14:textId="65D06D6A" w:rsidR="009C70A7" w:rsidRPr="007E723C" w:rsidRDefault="009C70A7" w:rsidP="006D696F">
      <w:pPr>
        <w:spacing w:after="0" w:line="360" w:lineRule="auto"/>
        <w:ind w:firstLine="709"/>
        <w:jc w:val="both"/>
        <w:rPr>
          <w:rFonts w:ascii="Georgia" w:hAnsi="Georgia" w:cs="Times New Roman"/>
          <w:iCs/>
          <w:sz w:val="24"/>
          <w:szCs w:val="24"/>
        </w:rPr>
      </w:pPr>
      <w:r w:rsidRPr="007E723C">
        <w:rPr>
          <w:rFonts w:ascii="Georgia" w:hAnsi="Georgia" w:cs="Times New Roman"/>
          <w:iCs/>
          <w:sz w:val="24"/>
          <w:szCs w:val="24"/>
        </w:rPr>
        <w:t xml:space="preserve">Amellett, hogy az egyes minősítést végző társaságok más-más skálán határozzák meg a vállalatok ESG pontszámát, bizonytalanságot kelt az is, hogy </w:t>
      </w:r>
      <w:r w:rsidR="0083636F" w:rsidRPr="007E723C">
        <w:rPr>
          <w:rFonts w:ascii="Georgia" w:hAnsi="Georgia" w:cs="Times New Roman"/>
          <w:iCs/>
          <w:sz w:val="24"/>
          <w:szCs w:val="24"/>
        </w:rPr>
        <w:t>sajátos</w:t>
      </w:r>
      <w:r w:rsidRPr="007E723C">
        <w:rPr>
          <w:rFonts w:ascii="Georgia" w:hAnsi="Georgia" w:cs="Times New Roman"/>
          <w:iCs/>
          <w:sz w:val="24"/>
          <w:szCs w:val="24"/>
        </w:rPr>
        <w:t xml:space="preserve"> pontozási rendszer</w:t>
      </w:r>
      <w:r w:rsidR="0083636F" w:rsidRPr="007E723C">
        <w:rPr>
          <w:rFonts w:ascii="Georgia" w:hAnsi="Georgia" w:cs="Times New Roman"/>
          <w:iCs/>
          <w:sz w:val="24"/>
          <w:szCs w:val="24"/>
        </w:rPr>
        <w:t>ük</w:t>
      </w:r>
      <w:r w:rsidRPr="007E723C">
        <w:rPr>
          <w:rFonts w:ascii="Georgia" w:hAnsi="Georgia" w:cs="Times New Roman"/>
          <w:iCs/>
          <w:sz w:val="24"/>
          <w:szCs w:val="24"/>
        </w:rPr>
        <w:t xml:space="preserve">nek megfelelően a vállalatok pontszámait átkonvertálják. </w:t>
      </w:r>
      <w:r w:rsidR="0083636F" w:rsidRPr="007E723C">
        <w:rPr>
          <w:rFonts w:ascii="Georgia" w:hAnsi="Georgia" w:cs="Times New Roman"/>
          <w:iCs/>
          <w:sz w:val="24"/>
          <w:szCs w:val="24"/>
        </w:rPr>
        <w:t>Ennek megfelelően</w:t>
      </w:r>
      <w:r w:rsidR="00D33B17" w:rsidRPr="007E723C">
        <w:rPr>
          <w:rFonts w:ascii="Georgia" w:hAnsi="Georgia" w:cs="Times New Roman"/>
          <w:iCs/>
          <w:sz w:val="24"/>
          <w:szCs w:val="24"/>
        </w:rPr>
        <w:t xml:space="preserve"> MSCI </w:t>
      </w:r>
      <w:r w:rsidR="0083636F" w:rsidRPr="007E723C">
        <w:rPr>
          <w:rFonts w:ascii="Georgia" w:hAnsi="Georgia" w:cs="Times New Roman"/>
          <w:iCs/>
          <w:sz w:val="24"/>
          <w:szCs w:val="24"/>
        </w:rPr>
        <w:t xml:space="preserve">értékeléseiben CCC jelenti a </w:t>
      </w:r>
      <w:r w:rsidR="00851D88" w:rsidRPr="007E723C">
        <w:rPr>
          <w:rFonts w:ascii="Georgia" w:hAnsi="Georgia" w:cs="Times New Roman"/>
          <w:iCs/>
          <w:sz w:val="24"/>
          <w:szCs w:val="24"/>
        </w:rPr>
        <w:t>legrosszabb</w:t>
      </w:r>
      <w:r w:rsidR="0083636F" w:rsidRPr="007E723C">
        <w:rPr>
          <w:rFonts w:ascii="Georgia" w:hAnsi="Georgia" w:cs="Times New Roman"/>
          <w:iCs/>
          <w:sz w:val="24"/>
          <w:szCs w:val="24"/>
        </w:rPr>
        <w:t xml:space="preserve">, míg AAA a </w:t>
      </w:r>
      <w:r w:rsidR="00851D88" w:rsidRPr="007E723C">
        <w:rPr>
          <w:rFonts w:ascii="Georgia" w:hAnsi="Georgia" w:cs="Times New Roman"/>
          <w:iCs/>
          <w:sz w:val="24"/>
          <w:szCs w:val="24"/>
        </w:rPr>
        <w:t>legjobb</w:t>
      </w:r>
      <w:r w:rsidR="0083636F" w:rsidRPr="007E723C">
        <w:rPr>
          <w:rFonts w:ascii="Georgia" w:hAnsi="Georgia" w:cs="Times New Roman"/>
          <w:iCs/>
          <w:sz w:val="24"/>
          <w:szCs w:val="24"/>
        </w:rPr>
        <w:t xml:space="preserve"> ESG teljesítményt. De a vizsgált ESG minősítést végző társaságok között található több olyan is, amelyek </w:t>
      </w:r>
      <w:r w:rsidR="00B6094E" w:rsidRPr="007E723C">
        <w:rPr>
          <w:rFonts w:ascii="Georgia" w:hAnsi="Georgia" w:cs="Times New Roman"/>
          <w:iCs/>
          <w:sz w:val="24"/>
          <w:szCs w:val="24"/>
        </w:rPr>
        <w:t xml:space="preserve">a vállalatok végső </w:t>
      </w:r>
      <w:r w:rsidR="00B6094E" w:rsidRPr="007E723C">
        <w:rPr>
          <w:rFonts w:ascii="Georgia" w:hAnsi="Georgia" w:cs="Times New Roman"/>
          <w:iCs/>
          <w:sz w:val="24"/>
          <w:szCs w:val="24"/>
        </w:rPr>
        <w:lastRenderedPageBreak/>
        <w:t xml:space="preserve">fenntarthatósági teljesítményét valamilyen betűkből álló skálán határozzák meg. A Refinitiv és az ISS módszertana ebből a szempontból teljesen hasonló, hiszen mindkét ESG szolgáltató értékeléseiben a végső eredményt egy D- és A+ közé eső pontozási skálán adják meg. Valamelyest hasonló a CDP pontozási rendszere is, ahol a vállalatok ESG teljesítményét egy D- -tól A-ig terjedő skálán helyezik el. </w:t>
      </w:r>
      <w:r w:rsidR="001B54C6" w:rsidRPr="007E723C">
        <w:rPr>
          <w:rFonts w:ascii="Georgia" w:hAnsi="Georgia" w:cs="Times New Roman"/>
          <w:iCs/>
          <w:sz w:val="24"/>
          <w:szCs w:val="24"/>
        </w:rPr>
        <w:t xml:space="preserve">A többi minősítő társaság esetében az figyelhető meg, hogy a pontszámokat nem váltják át, hanem a pontozás során kapott értéket jelenítik meg az értékelésben. Ennek megfelelően a S&amp;P minősítéseiben 0 és 100 közötti, az FTSE Russell minősítéseiben 0 és 5 közötti, míg a Bloomberg minősítéseiben 0 és 1 közötti érték jelenik meg. Kivételt képez az előbbiekhez képest a Sustainalytics pontozási rendszere, ahol szintén megfigyelhető a pontok sajátos metodika szerinti átkonvertálása. Így a végső értékelésben </w:t>
      </w:r>
      <w:r w:rsidR="006D696F" w:rsidRPr="007E723C">
        <w:rPr>
          <w:rFonts w:ascii="Georgia" w:hAnsi="Georgia" w:cs="Times New Roman"/>
          <w:iCs/>
          <w:sz w:val="24"/>
          <w:szCs w:val="24"/>
        </w:rPr>
        <w:t xml:space="preserve">0 jelenti a </w:t>
      </w:r>
      <w:r w:rsidR="00D07223" w:rsidRPr="007E723C">
        <w:rPr>
          <w:rFonts w:ascii="Georgia" w:hAnsi="Georgia" w:cs="Times New Roman"/>
          <w:iCs/>
          <w:sz w:val="24"/>
          <w:szCs w:val="24"/>
        </w:rPr>
        <w:t>legjobb</w:t>
      </w:r>
      <w:r w:rsidR="006D696F" w:rsidRPr="007E723C">
        <w:rPr>
          <w:rFonts w:ascii="Georgia" w:hAnsi="Georgia" w:cs="Times New Roman"/>
          <w:iCs/>
          <w:sz w:val="24"/>
          <w:szCs w:val="24"/>
        </w:rPr>
        <w:t xml:space="preserve"> ESG teljesítményt, míg a 40 feletti pontszámok rendkívül</w:t>
      </w:r>
      <w:r w:rsidR="00D07223" w:rsidRPr="007E723C">
        <w:rPr>
          <w:rFonts w:ascii="Georgia" w:hAnsi="Georgia" w:cs="Times New Roman"/>
          <w:iCs/>
          <w:sz w:val="24"/>
          <w:szCs w:val="24"/>
        </w:rPr>
        <w:t xml:space="preserve"> magas ESG</w:t>
      </w:r>
      <w:r w:rsidR="006D696F" w:rsidRPr="007E723C">
        <w:rPr>
          <w:rFonts w:ascii="Georgia" w:hAnsi="Georgia" w:cs="Times New Roman"/>
          <w:iCs/>
          <w:sz w:val="24"/>
          <w:szCs w:val="24"/>
        </w:rPr>
        <w:t xml:space="preserve"> </w:t>
      </w:r>
      <w:r w:rsidR="00D07223" w:rsidRPr="007E723C">
        <w:rPr>
          <w:rFonts w:ascii="Georgia" w:hAnsi="Georgia" w:cs="Times New Roman"/>
          <w:iCs/>
          <w:sz w:val="24"/>
          <w:szCs w:val="24"/>
        </w:rPr>
        <w:t>kockázatra</w:t>
      </w:r>
      <w:r w:rsidR="006D696F" w:rsidRPr="007E723C">
        <w:rPr>
          <w:rFonts w:ascii="Georgia" w:hAnsi="Georgia" w:cs="Times New Roman"/>
          <w:iCs/>
          <w:sz w:val="24"/>
          <w:szCs w:val="24"/>
        </w:rPr>
        <w:t xml:space="preserve"> utalnak.</w:t>
      </w:r>
    </w:p>
    <w:p w14:paraId="4044507A" w14:textId="6AC6A4A2" w:rsidR="006D696F" w:rsidRPr="007E723C" w:rsidRDefault="006D696F" w:rsidP="006D696F">
      <w:pPr>
        <w:spacing w:after="0" w:line="360" w:lineRule="auto"/>
        <w:ind w:firstLine="709"/>
        <w:jc w:val="both"/>
        <w:rPr>
          <w:rFonts w:ascii="Georgia" w:hAnsi="Georgia" w:cs="Times New Roman"/>
          <w:iCs/>
          <w:sz w:val="24"/>
          <w:szCs w:val="24"/>
        </w:rPr>
      </w:pPr>
      <w:r w:rsidRPr="007E723C">
        <w:rPr>
          <w:rFonts w:ascii="Georgia" w:hAnsi="Georgia" w:cs="Times New Roman"/>
          <w:iCs/>
          <w:sz w:val="24"/>
          <w:szCs w:val="24"/>
        </w:rPr>
        <w:t>A kutatás során feltárt pontozási eltérésekből tehát arra lehet következtetni, hogy az ESG minősítést végző társaságok sajátos metodológiája révén előálló értékeléseket nem lehet egyszerűen összehasonlítani, hiszen nyilvánvaló, hogy egy C minősítés, vagy egy 12 pontos ESG teljesítmény között nehéz párhuzamot vonni és ilyen formán nem könnyű feladat erre építeni egy befektetési, vagy finanszírozási döntést sem.</w:t>
      </w:r>
      <w:r w:rsidR="001E55E2" w:rsidRPr="007E723C">
        <w:rPr>
          <w:rFonts w:ascii="Georgia" w:hAnsi="Georgia" w:cs="Times New Roman"/>
          <w:iCs/>
          <w:sz w:val="24"/>
          <w:szCs w:val="24"/>
        </w:rPr>
        <w:t xml:space="preserve"> </w:t>
      </w:r>
      <w:r w:rsidR="00F20B3B" w:rsidRPr="007E723C">
        <w:rPr>
          <w:rFonts w:ascii="Georgia" w:hAnsi="Georgia" w:cs="Times New Roman"/>
          <w:iCs/>
          <w:sz w:val="24"/>
          <w:szCs w:val="24"/>
        </w:rPr>
        <w:t>További nehézségeket szül az is, hogy a vizsgált minősítők között találhatók olyanok, amelyek viszonylag szűk skálán (0-5) határozzák meg az ESG teljesítmény</w:t>
      </w:r>
      <w:r w:rsidR="00710179" w:rsidRPr="007E723C">
        <w:rPr>
          <w:rFonts w:ascii="Georgia" w:hAnsi="Georgia" w:cs="Times New Roman"/>
          <w:iCs/>
          <w:sz w:val="24"/>
          <w:szCs w:val="24"/>
        </w:rPr>
        <w:t>t</w:t>
      </w:r>
      <w:r w:rsidR="00F20B3B" w:rsidRPr="007E723C">
        <w:rPr>
          <w:rFonts w:ascii="Georgia" w:hAnsi="Georgia" w:cs="Times New Roman"/>
          <w:iCs/>
          <w:sz w:val="24"/>
          <w:szCs w:val="24"/>
        </w:rPr>
        <w:t>, még mások egy jóval szélesebb skálán (0-100) helyezik</w:t>
      </w:r>
      <w:r w:rsidR="00710179" w:rsidRPr="007E723C">
        <w:rPr>
          <w:rFonts w:ascii="Georgia" w:hAnsi="Georgia" w:cs="Times New Roman"/>
          <w:iCs/>
          <w:sz w:val="24"/>
          <w:szCs w:val="24"/>
        </w:rPr>
        <w:t xml:space="preserve"> el</w:t>
      </w:r>
      <w:r w:rsidR="00F20B3B" w:rsidRPr="007E723C">
        <w:rPr>
          <w:rFonts w:ascii="Georgia" w:hAnsi="Georgia" w:cs="Times New Roman"/>
          <w:iCs/>
          <w:sz w:val="24"/>
          <w:szCs w:val="24"/>
        </w:rPr>
        <w:t xml:space="preserve"> a vállalatokat fenntarthatósági teljesítményük alapján. Így felmerülhet </w:t>
      </w:r>
      <w:r w:rsidR="00710179" w:rsidRPr="007E723C">
        <w:rPr>
          <w:rFonts w:ascii="Georgia" w:hAnsi="Georgia" w:cs="Times New Roman"/>
          <w:iCs/>
          <w:sz w:val="24"/>
          <w:szCs w:val="24"/>
        </w:rPr>
        <w:t>az a</w:t>
      </w:r>
      <w:r w:rsidR="00F20B3B" w:rsidRPr="007E723C">
        <w:rPr>
          <w:rFonts w:ascii="Georgia" w:hAnsi="Georgia" w:cs="Times New Roman"/>
          <w:iCs/>
          <w:sz w:val="24"/>
          <w:szCs w:val="24"/>
        </w:rPr>
        <w:t xml:space="preserve"> kérdés</w:t>
      </w:r>
      <w:r w:rsidR="000E1B43" w:rsidRPr="007E723C">
        <w:rPr>
          <w:rFonts w:ascii="Georgia" w:hAnsi="Georgia" w:cs="Times New Roman"/>
          <w:iCs/>
          <w:sz w:val="24"/>
          <w:szCs w:val="24"/>
        </w:rPr>
        <w:t xml:space="preserve">, hogy ami az egyik minősítőnél 30-40 pont, az egy másiknál 2-es vagy 3-as teljesítménynek feleltethető-e meg. </w:t>
      </w:r>
    </w:p>
    <w:p w14:paraId="30BCFACE" w14:textId="1EE7FCEC" w:rsidR="00EE5E61" w:rsidRPr="007E723C" w:rsidRDefault="00710179" w:rsidP="00EE5E61">
      <w:pPr>
        <w:spacing w:line="360" w:lineRule="auto"/>
        <w:ind w:firstLine="709"/>
        <w:jc w:val="both"/>
        <w:rPr>
          <w:rFonts w:ascii="Georgia" w:hAnsi="Georgia" w:cs="Times New Roman"/>
          <w:iCs/>
          <w:sz w:val="24"/>
          <w:szCs w:val="24"/>
        </w:rPr>
      </w:pPr>
      <w:r w:rsidRPr="007E723C">
        <w:rPr>
          <w:rFonts w:ascii="Georgia" w:hAnsi="Georgia" w:cs="Times New Roman"/>
          <w:iCs/>
          <w:sz w:val="24"/>
          <w:szCs w:val="24"/>
        </w:rPr>
        <w:t xml:space="preserve">A fentieken túl érdemes még arra is kitérni, hogy az egyes minősítést végző társaságok által alkalmazott skálákon mi jelenti a legjobb, illetve a legrosszabb teljesítményt. </w:t>
      </w:r>
      <w:r w:rsidR="00851D88" w:rsidRPr="007E723C">
        <w:rPr>
          <w:rFonts w:ascii="Georgia" w:hAnsi="Georgia" w:cs="Times New Roman"/>
          <w:iCs/>
          <w:sz w:val="24"/>
          <w:szCs w:val="24"/>
        </w:rPr>
        <w:t xml:space="preserve">A vizsgált minősítők esetében ugyanis megfigyelhető az, hogy az alkalmazott skálán a növekvő értékekhez egyre rosszabb ESG teljesítmény társul. Ennek az egyik oka, hogy a Sustainalytics például a fenntarthatósági teljesítményt olyan szempontból értékeli, hogy az adott vállalat működése révén mennyire van kitéve az ESG kockázatának. Így az értékelésben szereplő minél magasabb értékek egyre növekvő kockázatra </w:t>
      </w:r>
      <w:r w:rsidR="008205C4" w:rsidRPr="007E723C">
        <w:rPr>
          <w:rFonts w:ascii="Georgia" w:hAnsi="Georgia" w:cs="Times New Roman"/>
          <w:iCs/>
          <w:sz w:val="24"/>
          <w:szCs w:val="24"/>
        </w:rPr>
        <w:t xml:space="preserve">utalnak. A többi numerikus skálát alkalmazó ESG minősítést végző társaság, így a S&amp;P, az FTSE Russell és a Bloomberg esetében elmondható, hogy hagyományosan a magasabb pontszámok mögött jobb ESG </w:t>
      </w:r>
      <w:r w:rsidR="008205C4" w:rsidRPr="007E723C">
        <w:rPr>
          <w:rFonts w:ascii="Georgia" w:hAnsi="Georgia" w:cs="Times New Roman"/>
          <w:iCs/>
          <w:sz w:val="24"/>
          <w:szCs w:val="24"/>
        </w:rPr>
        <w:lastRenderedPageBreak/>
        <w:t xml:space="preserve">teljesítmény rejlik. Ezzel szemben az MSCI, a Refinitiv, az ISS és a CDP minősítésében fordított kapcsolat figyelhető meg a pontszám és a végső értékelés között. Ennek megfelelően egy magasabb pontszámot az ABC-ben előrébb elhelyezkedő betűk jelölik. </w:t>
      </w:r>
    </w:p>
    <w:p w14:paraId="7D3439F4" w14:textId="77777777" w:rsidR="00AC7D58" w:rsidRPr="007E723C" w:rsidRDefault="00EE5E61" w:rsidP="00AC7D58">
      <w:pPr>
        <w:spacing w:after="0" w:line="360" w:lineRule="auto"/>
        <w:ind w:firstLine="709"/>
        <w:jc w:val="both"/>
        <w:rPr>
          <w:rFonts w:ascii="Georgia" w:hAnsi="Georgia" w:cs="Times New Roman"/>
          <w:b/>
          <w:bCs/>
          <w:iCs/>
          <w:sz w:val="24"/>
          <w:szCs w:val="24"/>
        </w:rPr>
      </w:pPr>
      <w:r w:rsidRPr="007E723C">
        <w:rPr>
          <w:rFonts w:ascii="Georgia" w:hAnsi="Georgia" w:cs="Times New Roman"/>
          <w:b/>
          <w:bCs/>
          <w:iCs/>
          <w:sz w:val="24"/>
          <w:szCs w:val="24"/>
        </w:rPr>
        <w:t>Minősítés</w:t>
      </w:r>
    </w:p>
    <w:p w14:paraId="51D5262F" w14:textId="77777777" w:rsidR="00973621" w:rsidRDefault="00AC7D58" w:rsidP="00973621">
      <w:pPr>
        <w:spacing w:line="360" w:lineRule="auto"/>
        <w:ind w:firstLine="709"/>
        <w:jc w:val="both"/>
        <w:rPr>
          <w:rFonts w:ascii="Georgia" w:hAnsi="Georgia" w:cs="Times New Roman"/>
          <w:iCs/>
          <w:sz w:val="24"/>
          <w:szCs w:val="24"/>
        </w:rPr>
      </w:pPr>
      <w:r w:rsidRPr="007E723C">
        <w:rPr>
          <w:rFonts w:ascii="Georgia" w:hAnsi="Georgia" w:cs="Times New Roman"/>
          <w:iCs/>
          <w:sz w:val="24"/>
          <w:szCs w:val="24"/>
        </w:rPr>
        <w:t xml:space="preserve">A különböző pontozási skálák mellett </w:t>
      </w:r>
      <w:r w:rsidR="00C00F2A" w:rsidRPr="007E723C">
        <w:rPr>
          <w:rFonts w:ascii="Georgia" w:hAnsi="Georgia" w:cs="Times New Roman"/>
          <w:iCs/>
          <w:sz w:val="24"/>
          <w:szCs w:val="24"/>
        </w:rPr>
        <w:t>bizonyos</w:t>
      </w:r>
      <w:r w:rsidRPr="007E723C">
        <w:rPr>
          <w:rFonts w:ascii="Georgia" w:hAnsi="Georgia" w:cs="Times New Roman"/>
          <w:iCs/>
          <w:sz w:val="24"/>
          <w:szCs w:val="24"/>
        </w:rPr>
        <w:t xml:space="preserve"> ESG minősítést végző társaságok az értékelt vállalatok</w:t>
      </w:r>
      <w:r w:rsidR="00C00F2A" w:rsidRPr="007E723C">
        <w:rPr>
          <w:rFonts w:ascii="Georgia" w:hAnsi="Georgia" w:cs="Times New Roman"/>
          <w:iCs/>
          <w:sz w:val="24"/>
          <w:szCs w:val="24"/>
        </w:rPr>
        <w:t>at</w:t>
      </w:r>
      <w:r w:rsidRPr="007E723C">
        <w:rPr>
          <w:rFonts w:ascii="Georgia" w:hAnsi="Georgia" w:cs="Times New Roman"/>
          <w:iCs/>
          <w:sz w:val="24"/>
          <w:szCs w:val="24"/>
        </w:rPr>
        <w:t xml:space="preserve"> kategóriákba sorolják. A vizsgált minősítők közül az MSCI, a Sustainalytics, a Refintiv és az ISS módszertana terjed ki az ilyen jellegű besorolások elvégzésére. </w:t>
      </w:r>
      <w:r w:rsidR="000203CC" w:rsidRPr="007E723C">
        <w:rPr>
          <w:rFonts w:ascii="Georgia" w:hAnsi="Georgia" w:cs="Times New Roman"/>
          <w:iCs/>
          <w:sz w:val="24"/>
          <w:szCs w:val="24"/>
        </w:rPr>
        <w:t>Az MSCI például három kategóriába sorolja az értékelt vállalatokat. Ennek megfelelően a lemaradókat, az átlagosakat és az üttörőket különíti el ESG teljesítményük alapján. A Refinitiv módszertana nagyon hasonló ehhez. Ebben az esetben nem konkrét kategóriákról beszélhetünk, hiszen itt a lemarad</w:t>
      </w:r>
      <w:r w:rsidR="00C00F2A" w:rsidRPr="007E723C">
        <w:rPr>
          <w:rFonts w:ascii="Georgia" w:hAnsi="Georgia" w:cs="Times New Roman"/>
          <w:iCs/>
          <w:sz w:val="24"/>
          <w:szCs w:val="24"/>
        </w:rPr>
        <w:t>ó</w:t>
      </w:r>
      <w:r w:rsidR="000203CC" w:rsidRPr="007E723C">
        <w:rPr>
          <w:rFonts w:ascii="Georgia" w:hAnsi="Georgia" w:cs="Times New Roman"/>
          <w:iCs/>
          <w:sz w:val="24"/>
          <w:szCs w:val="24"/>
        </w:rPr>
        <w:t xml:space="preserve">k és az úttörők közötti skálán helyezik el az értékelt vállalatokat. </w:t>
      </w:r>
      <w:r w:rsidR="004F23A4" w:rsidRPr="007E723C">
        <w:rPr>
          <w:rFonts w:ascii="Georgia" w:hAnsi="Georgia" w:cs="Times New Roman"/>
          <w:iCs/>
          <w:sz w:val="24"/>
          <w:szCs w:val="24"/>
        </w:rPr>
        <w:t xml:space="preserve">Ezzel ellentétben a Sustainalytics öt csoportba sorolja a vállalatokat. Fontos azonban kiemelni, hogy ennél a kategorizálásnál arról van szó, hogy az adott vállalat mennyire tekinthető kockázatosnak ESG szempontból. Ennek megfelelően kaphat egy vállalat súlyos, magas, közepes, alacsony vagy elhanyagolható minősítést. </w:t>
      </w:r>
      <w:r w:rsidR="002B48F6" w:rsidRPr="007E723C">
        <w:rPr>
          <w:rFonts w:ascii="Georgia" w:hAnsi="Georgia" w:cs="Times New Roman"/>
          <w:iCs/>
          <w:sz w:val="24"/>
          <w:szCs w:val="24"/>
        </w:rPr>
        <w:t>Az ISS minősítése szerint pedig egy vállalat ESG teljesítménye lehet gyenge, közepes, jó vagy kiváló.</w:t>
      </w:r>
      <w:r w:rsidR="00C00F2A" w:rsidRPr="007E723C">
        <w:rPr>
          <w:rFonts w:ascii="Georgia" w:hAnsi="Georgia" w:cs="Times New Roman"/>
          <w:iCs/>
          <w:sz w:val="24"/>
          <w:szCs w:val="24"/>
        </w:rPr>
        <w:t xml:space="preserve"> Feltételezhetően ez a további kategorizálás azt a célt szolgálja, hogy az ESG minősítéseket felhasználó külső érdekeltek jobban megértsék az értékelés eredményét, és ezáltal könnyebben el tudják helyezni a vállalatokat ESG teljesítményük alapján. Véleményem szerint azonban az eredmények ilyen jellegű újraértékelése csak még inkább bonyolultabbá és kevésbé átláthatóvá teszi az egyes minősítő társaságok által elkészített értékeléseket.</w:t>
      </w:r>
      <w:r w:rsidR="00973621">
        <w:rPr>
          <w:rFonts w:ascii="Georgia" w:hAnsi="Georgia" w:cs="Times New Roman"/>
          <w:iCs/>
          <w:sz w:val="24"/>
          <w:szCs w:val="24"/>
        </w:rPr>
        <w:t xml:space="preserve"> </w:t>
      </w:r>
    </w:p>
    <w:p w14:paraId="07DF4E5C" w14:textId="6DC77A65" w:rsidR="009C70A7" w:rsidRDefault="00FB5F50" w:rsidP="00973621">
      <w:pPr>
        <w:spacing w:line="360" w:lineRule="auto"/>
        <w:ind w:firstLine="709"/>
        <w:jc w:val="both"/>
        <w:rPr>
          <w:rFonts w:ascii="Georgia" w:hAnsi="Georgia" w:cs="Times New Roman"/>
          <w:iCs/>
          <w:sz w:val="24"/>
          <w:szCs w:val="24"/>
        </w:rPr>
      </w:pPr>
      <w:r w:rsidRPr="007E723C">
        <w:rPr>
          <w:rFonts w:ascii="Georgia" w:hAnsi="Georgia" w:cs="Times New Roman"/>
          <w:iCs/>
          <w:sz w:val="24"/>
          <w:szCs w:val="24"/>
        </w:rPr>
        <w:t>Az</w:t>
      </w:r>
      <w:r w:rsidR="00973621">
        <w:rPr>
          <w:rFonts w:ascii="Georgia" w:hAnsi="Georgia" w:cs="Times New Roman"/>
          <w:iCs/>
          <w:sz w:val="24"/>
          <w:szCs w:val="24"/>
        </w:rPr>
        <w:t xml:space="preserve"> </w:t>
      </w:r>
      <w:r w:rsidRPr="007E723C">
        <w:rPr>
          <w:rFonts w:ascii="Georgia" w:hAnsi="Georgia" w:cs="Times New Roman"/>
          <w:iCs/>
          <w:sz w:val="24"/>
          <w:szCs w:val="24"/>
        </w:rPr>
        <w:t>alábbi táblázat</w:t>
      </w:r>
      <w:r w:rsidR="00333D78">
        <w:rPr>
          <w:rFonts w:ascii="Georgia" w:hAnsi="Georgia" w:cs="Times New Roman"/>
          <w:iCs/>
          <w:sz w:val="24"/>
          <w:szCs w:val="24"/>
        </w:rPr>
        <w:t xml:space="preserve"> (13. táblázat)</w:t>
      </w:r>
      <w:r w:rsidRPr="007E723C">
        <w:rPr>
          <w:rFonts w:ascii="Georgia" w:hAnsi="Georgia" w:cs="Times New Roman"/>
          <w:iCs/>
          <w:sz w:val="24"/>
          <w:szCs w:val="24"/>
        </w:rPr>
        <w:t xml:space="preserve"> a vizsgált minősítők közötti főbb módszertani eltéréseket foglalja össze.</w:t>
      </w:r>
    </w:p>
    <w:p w14:paraId="7B9A8A0F" w14:textId="7D177B28" w:rsidR="005B6C8E" w:rsidRPr="00333D78" w:rsidRDefault="00333D78" w:rsidP="00FF7AC9">
      <w:pPr>
        <w:pStyle w:val="Listaszerbekezds"/>
        <w:numPr>
          <w:ilvl w:val="0"/>
          <w:numId w:val="5"/>
        </w:numPr>
        <w:spacing w:line="360" w:lineRule="auto"/>
        <w:jc w:val="center"/>
        <w:rPr>
          <w:rFonts w:ascii="Georgia" w:hAnsi="Georgia" w:cs="Times New Roman"/>
          <w:i/>
          <w:iCs/>
          <w:sz w:val="20"/>
          <w:szCs w:val="20"/>
        </w:rPr>
      </w:pPr>
      <w:r>
        <w:rPr>
          <w:noProof/>
          <w:sz w:val="24"/>
          <w:szCs w:val="24"/>
          <w:lang w:eastAsia="hu-HU"/>
        </w:rPr>
        <w:lastRenderedPageBreak/>
        <w:drawing>
          <wp:anchor distT="0" distB="0" distL="114300" distR="114300" simplePos="0" relativeHeight="251700224" behindDoc="0" locked="0" layoutInCell="1" allowOverlap="1" wp14:anchorId="659FDC6F" wp14:editId="393DC69F">
            <wp:simplePos x="0" y="0"/>
            <wp:positionH relativeFrom="column">
              <wp:posOffset>34925</wp:posOffset>
            </wp:positionH>
            <wp:positionV relativeFrom="paragraph">
              <wp:posOffset>4445</wp:posOffset>
            </wp:positionV>
            <wp:extent cx="5399405" cy="2500630"/>
            <wp:effectExtent l="0" t="0" r="0" b="0"/>
            <wp:wrapTopAndBottom/>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99405" cy="2500630"/>
                    </a:xfrm>
                    <a:prstGeom prst="rect">
                      <a:avLst/>
                    </a:prstGeom>
                  </pic:spPr>
                </pic:pic>
              </a:graphicData>
            </a:graphic>
            <wp14:sizeRelH relativeFrom="page">
              <wp14:pctWidth>0</wp14:pctWidth>
            </wp14:sizeRelH>
            <wp14:sizeRelV relativeFrom="page">
              <wp14:pctHeight>0</wp14:pctHeight>
            </wp14:sizeRelV>
          </wp:anchor>
        </w:drawing>
      </w:r>
      <w:r w:rsidR="005B6C8E" w:rsidRPr="00333D78">
        <w:rPr>
          <w:rFonts w:ascii="Georgia" w:hAnsi="Georgia" w:cs="Times New Roman"/>
          <w:b/>
          <w:bCs/>
          <w:i/>
          <w:iCs/>
          <w:sz w:val="20"/>
          <w:szCs w:val="20"/>
        </w:rPr>
        <w:t>táblázat</w:t>
      </w:r>
      <w:r w:rsidR="005B6C8E" w:rsidRPr="00333D78">
        <w:rPr>
          <w:rFonts w:ascii="Georgia" w:hAnsi="Georgia" w:cs="Times New Roman"/>
          <w:i/>
          <w:iCs/>
          <w:sz w:val="20"/>
          <w:szCs w:val="20"/>
        </w:rPr>
        <w:t>: A tartalomelemzés főbb eredményei</w:t>
      </w:r>
    </w:p>
    <w:p w14:paraId="7F44F760" w14:textId="5B67E446" w:rsidR="00D1320A" w:rsidRPr="00333D78" w:rsidRDefault="005B6C8E" w:rsidP="00F851EE">
      <w:pPr>
        <w:pStyle w:val="Listaszerbekezds"/>
        <w:spacing w:after="240" w:line="360" w:lineRule="auto"/>
        <w:jc w:val="center"/>
        <w:rPr>
          <w:rFonts w:ascii="Georgia" w:hAnsi="Georgia" w:cs="Times New Roman"/>
          <w:i/>
          <w:iCs/>
          <w:sz w:val="20"/>
          <w:szCs w:val="20"/>
        </w:rPr>
      </w:pPr>
      <w:r w:rsidRPr="00333D78">
        <w:rPr>
          <w:rFonts w:ascii="Georgia" w:hAnsi="Georgia" w:cs="Times New Roman"/>
          <w:i/>
          <w:iCs/>
          <w:sz w:val="20"/>
          <w:szCs w:val="20"/>
        </w:rPr>
        <w:t>Forrás: saját szerkesztés</w:t>
      </w:r>
    </w:p>
    <w:p w14:paraId="15E00EBC" w14:textId="40140446" w:rsidR="00117BC5" w:rsidRPr="00480C87" w:rsidRDefault="002502E8" w:rsidP="008040E2">
      <w:pPr>
        <w:pStyle w:val="Cmsor2"/>
        <w:numPr>
          <w:ilvl w:val="1"/>
          <w:numId w:val="1"/>
        </w:numPr>
        <w:spacing w:line="360" w:lineRule="auto"/>
        <w:ind w:left="1134" w:hanging="578"/>
        <w:jc w:val="both"/>
        <w:rPr>
          <w:rFonts w:ascii="Georgia" w:hAnsi="Georgia" w:cs="Times New Roman"/>
          <w:b/>
          <w:bCs/>
          <w:color w:val="auto"/>
          <w:sz w:val="24"/>
          <w:szCs w:val="24"/>
        </w:rPr>
      </w:pPr>
      <w:bookmarkStart w:id="66" w:name="_Toc119421194"/>
      <w:r w:rsidRPr="00480C87">
        <w:rPr>
          <w:rFonts w:ascii="Georgia" w:hAnsi="Georgia" w:cs="Times New Roman"/>
          <w:b/>
          <w:bCs/>
          <w:color w:val="auto"/>
          <w:sz w:val="24"/>
          <w:szCs w:val="24"/>
        </w:rPr>
        <w:t>Az ESG pontszámok közötti kapcsolat elemzésének eredményei</w:t>
      </w:r>
      <w:bookmarkEnd w:id="66"/>
    </w:p>
    <w:p w14:paraId="48EEC8F0" w14:textId="02712372" w:rsidR="00CB2BDC" w:rsidRPr="00CB2BDC" w:rsidRDefault="00CB2BDC" w:rsidP="00CB2BDC">
      <w:pPr>
        <w:spacing w:line="360" w:lineRule="auto"/>
        <w:ind w:firstLine="709"/>
        <w:jc w:val="both"/>
        <w:rPr>
          <w:rFonts w:ascii="Georgia" w:hAnsi="Georgia"/>
          <w:sz w:val="24"/>
          <w:szCs w:val="24"/>
        </w:rPr>
      </w:pPr>
      <w:r w:rsidRPr="00CB2BDC">
        <w:rPr>
          <w:rFonts w:ascii="Georgia" w:hAnsi="Georgia"/>
          <w:sz w:val="24"/>
          <w:szCs w:val="24"/>
        </w:rPr>
        <w:t>A kutatás</w:t>
      </w:r>
      <w:r w:rsidR="00FE54A6">
        <w:rPr>
          <w:rFonts w:ascii="Georgia" w:hAnsi="Georgia"/>
          <w:sz w:val="24"/>
          <w:szCs w:val="24"/>
        </w:rPr>
        <w:t>unk</w:t>
      </w:r>
      <w:r w:rsidRPr="00CB2BDC">
        <w:rPr>
          <w:rFonts w:ascii="Georgia" w:hAnsi="Georgia"/>
          <w:sz w:val="24"/>
          <w:szCs w:val="24"/>
        </w:rPr>
        <w:t xml:space="preserve"> második részében az ESG minősítést végző társaságok által közreadott pontszámok megbízhatóságát vizsgált</w:t>
      </w:r>
      <w:r w:rsidR="00FE54A6">
        <w:rPr>
          <w:rFonts w:ascii="Georgia" w:hAnsi="Georgia"/>
          <w:sz w:val="24"/>
          <w:szCs w:val="24"/>
        </w:rPr>
        <w:t>uk</w:t>
      </w:r>
      <w:r w:rsidRPr="00CB2BDC">
        <w:rPr>
          <w:rFonts w:ascii="Georgia" w:hAnsi="Georgia"/>
          <w:sz w:val="24"/>
          <w:szCs w:val="24"/>
        </w:rPr>
        <w:t>, oly módon, hogy nyolc különböző iparágból származó vállalatokból képzett véletlen mintán korrelációs vizsgálatokat végezt</w:t>
      </w:r>
      <w:r w:rsidR="00FE54A6">
        <w:rPr>
          <w:rFonts w:ascii="Georgia" w:hAnsi="Georgia"/>
          <w:sz w:val="24"/>
          <w:szCs w:val="24"/>
        </w:rPr>
        <w:t>ünk</w:t>
      </w:r>
      <w:r w:rsidRPr="00CB2BDC">
        <w:rPr>
          <w:rFonts w:ascii="Georgia" w:hAnsi="Georgia"/>
          <w:sz w:val="24"/>
          <w:szCs w:val="24"/>
        </w:rPr>
        <w:t>. A következőkben ennek az eredményeit mutat</w:t>
      </w:r>
      <w:r w:rsidR="00FE54A6">
        <w:rPr>
          <w:rFonts w:ascii="Georgia" w:hAnsi="Georgia"/>
          <w:sz w:val="24"/>
          <w:szCs w:val="24"/>
        </w:rPr>
        <w:t>juk</w:t>
      </w:r>
      <w:r w:rsidRPr="00CB2BDC">
        <w:rPr>
          <w:rFonts w:ascii="Georgia" w:hAnsi="Georgia"/>
          <w:sz w:val="24"/>
          <w:szCs w:val="24"/>
        </w:rPr>
        <w:t xml:space="preserve"> be részletesen.</w:t>
      </w:r>
    </w:p>
    <w:p w14:paraId="1F4F5856" w14:textId="13D31BD5" w:rsidR="00265A6C" w:rsidRDefault="008B1DE4" w:rsidP="00D1320A">
      <w:pPr>
        <w:spacing w:line="360" w:lineRule="auto"/>
        <w:ind w:firstLine="709"/>
        <w:jc w:val="both"/>
        <w:rPr>
          <w:rFonts w:ascii="Georgia" w:hAnsi="Georgia"/>
          <w:sz w:val="24"/>
          <w:szCs w:val="24"/>
        </w:rPr>
      </w:pPr>
      <w:r>
        <w:rPr>
          <w:rFonts w:ascii="Georgia" w:hAnsi="Georgia"/>
          <w:sz w:val="24"/>
          <w:szCs w:val="24"/>
        </w:rPr>
        <w:t xml:space="preserve">Az elvégezett korrelációs vizsgálatokból alapvetően az látszik, hogy a </w:t>
      </w:r>
      <w:r w:rsidR="00A97D1C">
        <w:rPr>
          <w:rFonts w:ascii="Georgia" w:hAnsi="Georgia"/>
          <w:sz w:val="24"/>
          <w:szCs w:val="24"/>
        </w:rPr>
        <w:t xml:space="preserve">40 elemű minta esetében a </w:t>
      </w:r>
      <w:r>
        <w:rPr>
          <w:rFonts w:ascii="Georgia" w:hAnsi="Georgia"/>
          <w:sz w:val="24"/>
          <w:szCs w:val="24"/>
        </w:rPr>
        <w:t xml:space="preserve">Refinitiv és a Bloomberg pontszámai között viszonylag erős, 0,7 feletti pozitív kapcsolat figyelhető meg. </w:t>
      </w:r>
      <w:r w:rsidR="00A97D1C">
        <w:rPr>
          <w:rFonts w:ascii="Georgia" w:hAnsi="Georgia"/>
          <w:sz w:val="24"/>
          <w:szCs w:val="24"/>
        </w:rPr>
        <w:t xml:space="preserve">Kiterjesztve az elemzést a többi ESG minősítést végző társaság pontszámaira már nem lehet ilyen egzakt kijelentéssel élni. A 20 elemű mintán elvégzett kapcsolatvizsgálat ugyanis vegyes képet fest az ESG minősítők értékeléseiről. A Refinitiv és a Bloomberg pontszámai között ebben az esetben is erős kapcsolat fedezhető fel, a korrelációs együttható értéke 0,728, mely 1%-on szignifikáns. Hasonló eredményt mutat a Refinitiv és a S&amp;P pontszámai közötti 0,702 erősségű korreláció is. Ezzel szemben a Bloomberg és a S&amp;P pontszámai közötti kapcsolat erőssége elmarad az előzőktől. Itt ugyanis a kapcsolat valamelyest gyengébb, 0,644 értéket mutat. </w:t>
      </w:r>
      <w:r w:rsidR="008677FC">
        <w:rPr>
          <w:rFonts w:ascii="Georgia" w:hAnsi="Georgia"/>
          <w:sz w:val="24"/>
          <w:szCs w:val="24"/>
        </w:rPr>
        <w:t xml:space="preserve">1%-on szignifikáns kapcsolat figyelhető még meg az MSCI és a Sustainalytics ESG pontszámai között. Ebben az esetben egy rendkívül erős (r=-0,815) negatív irányú kapcsolatról van szó. Ez azért van így, mert a Sustainalytics a vállalatok ESG szempontú kockázatosságát méri, így ezeknél a minősítéseknél a minél </w:t>
      </w:r>
      <w:r w:rsidR="008677FC">
        <w:rPr>
          <w:rFonts w:ascii="Georgia" w:hAnsi="Georgia"/>
          <w:sz w:val="24"/>
          <w:szCs w:val="24"/>
        </w:rPr>
        <w:lastRenderedPageBreak/>
        <w:t>alacsonyabb pontszámok jelentik az egyre jobb ESG teljesítményt. A fentieken túl még további két esetben beszélhetünk szignifikáns korrelációs kapcsolatról az elemzésre bevont minősítő társaságok által kiadott ESG pontszámok között. Ezekben az esetekben az előzőkkel ellentétben már csak 5%-on szignifikáns, gyengébb kapcsolatokat lehet felfedezni. Ennek megfelelően a Refinitiv és a Sustainlytics pontszámai között -0,503, míg a S&amp;P és a Sustainlytics pontszámai között -0,524 erősségű, negatív kapcsolat figyelhető meg.</w:t>
      </w:r>
      <w:r w:rsidR="00DF0696">
        <w:rPr>
          <w:rFonts w:ascii="Georgia" w:hAnsi="Georgia"/>
          <w:sz w:val="24"/>
          <w:szCs w:val="24"/>
        </w:rPr>
        <w:t xml:space="preserve"> Így kijelenthető, hogy a Refinitiv pontszámai a vizsgált ESG minősítő társaságok közül csupán az MSCI pontszámaival nem áll szignifikáns kapcsolatban (r=0,339), míg a Sustainlaytics is csak a Bloomberg pontszámaival nem mutat szignifikáns kapcsolatot (r=-0,426). Megfigyelhető továbbá az is, hogy az MSCI pontszámai kizárólag a Sustainlytics pontszámai esetében jeleznek szignifikáns, erős kapcsolatot, míg a többi ESG minősítést végző társaság esetében ez abszolút nem mondható el. Az MSCI és a Refinitiv pontszámai között 0,339, az MSCI és a Bloomberg pontszámai között 0,304, míg az MSCI és a S&amp;P pontszámai között 0,383 erősségű gyenge korrelációs kapcsolat figyelhető meg, melyek egyike sem tekinthető szignifikánsnak. </w:t>
      </w:r>
    </w:p>
    <w:p w14:paraId="67D898CB" w14:textId="665D2B34" w:rsidR="00C95EB7" w:rsidRDefault="00AC6BC0" w:rsidP="00A97D1C">
      <w:pPr>
        <w:spacing w:line="360" w:lineRule="auto"/>
        <w:ind w:firstLine="709"/>
        <w:jc w:val="both"/>
        <w:rPr>
          <w:rFonts w:ascii="Georgia" w:hAnsi="Georgia"/>
          <w:sz w:val="24"/>
          <w:szCs w:val="24"/>
        </w:rPr>
      </w:pPr>
      <w:r>
        <w:rPr>
          <w:rFonts w:ascii="Georgia" w:hAnsi="Georgia"/>
          <w:sz w:val="24"/>
          <w:szCs w:val="24"/>
        </w:rPr>
        <w:t xml:space="preserve">Összességében tehát elmondható, hogy az aggregált pontszámok nem mutatnak minden esetben erős, pozitív irányú kapcsolatot. Ennek hátterében többek között az állhat, hogy a vizsgált ESG minősítést végző társaságok más-más skálán mérik fel a vállalatok fenntarthatósági teljesítményét. A korrelációs vizsgálat alapján arra lehet következtetni, hogy azon minősítők esetében figyelhető meg szorosabb kapcsolat az ESG pontszámok között, amelyek azonos mérési skálát alkalmaznak a minősítés során. Ennek megfelelően </w:t>
      </w:r>
      <w:r w:rsidR="00265A6C">
        <w:rPr>
          <w:rFonts w:ascii="Georgia" w:hAnsi="Georgia"/>
          <w:sz w:val="24"/>
          <w:szCs w:val="24"/>
        </w:rPr>
        <w:t xml:space="preserve">a Refinitiv, a Bloomberg és a S&amp;P viszonyában beszélhetünk viszonylag erős szignifikáns kapcsolatról, ami arra vezethető vissza, hogy ezen minősítők mindegyike 0 és 100 közötti értékelést bocsát ki. Hasonló érvek mentén magyarázható meg az MSCI és a Sustainlaytics pontszámai közötti szoros, szignifikáns kapcsolat megléte is. </w:t>
      </w:r>
    </w:p>
    <w:p w14:paraId="19A40F66" w14:textId="0A2DFC30" w:rsidR="004C33B3" w:rsidRDefault="004C33B3" w:rsidP="00A97D1C">
      <w:pPr>
        <w:spacing w:line="360" w:lineRule="auto"/>
        <w:ind w:firstLine="709"/>
        <w:jc w:val="both"/>
        <w:rPr>
          <w:rFonts w:ascii="Georgia" w:hAnsi="Georgia"/>
          <w:sz w:val="24"/>
          <w:szCs w:val="24"/>
        </w:rPr>
      </w:pPr>
      <w:r>
        <w:rPr>
          <w:rFonts w:ascii="Georgia" w:hAnsi="Georgia"/>
          <w:sz w:val="24"/>
          <w:szCs w:val="24"/>
        </w:rPr>
        <w:t xml:space="preserve">Közelebbről megvizsgálva az ESG minősítést végző társaságok pontszámait az látszik, hogy az összesített pontszámokhoz képest az ESG egyes dimenziói mentén további eltérések lehet megfigyelni az egyes minősítők által közzétett pontszámok között. </w:t>
      </w:r>
      <w:r w:rsidR="009517AA">
        <w:rPr>
          <w:rFonts w:ascii="Georgia" w:hAnsi="Georgia"/>
          <w:sz w:val="24"/>
          <w:szCs w:val="24"/>
        </w:rPr>
        <w:t xml:space="preserve">Fontos azonban azt is kiemelni, hogy ebben az esetben a fentiekkel ellentétben csupán három ESG minősítőre vonatkozóan </w:t>
      </w:r>
      <w:r w:rsidR="00514593">
        <w:rPr>
          <w:rFonts w:ascii="Georgia" w:hAnsi="Georgia"/>
          <w:sz w:val="24"/>
          <w:szCs w:val="24"/>
        </w:rPr>
        <w:lastRenderedPageBreak/>
        <w:t xml:space="preserve">(Refinitiv, Bloomberg, S&amp;P) </w:t>
      </w:r>
      <w:r w:rsidR="009517AA">
        <w:rPr>
          <w:rFonts w:ascii="Georgia" w:hAnsi="Georgia"/>
          <w:sz w:val="24"/>
          <w:szCs w:val="24"/>
        </w:rPr>
        <w:t>ál</w:t>
      </w:r>
      <w:r w:rsidR="00514593">
        <w:rPr>
          <w:rFonts w:ascii="Georgia" w:hAnsi="Georgia"/>
          <w:sz w:val="24"/>
          <w:szCs w:val="24"/>
        </w:rPr>
        <w:t>l</w:t>
      </w:r>
      <w:r w:rsidR="009517AA">
        <w:rPr>
          <w:rFonts w:ascii="Georgia" w:hAnsi="Georgia"/>
          <w:sz w:val="24"/>
          <w:szCs w:val="24"/>
        </w:rPr>
        <w:t>ta</w:t>
      </w:r>
      <w:r w:rsidR="00514593">
        <w:rPr>
          <w:rFonts w:ascii="Georgia" w:hAnsi="Georgia"/>
          <w:sz w:val="24"/>
          <w:szCs w:val="24"/>
        </w:rPr>
        <w:t>k</w:t>
      </w:r>
      <w:r w:rsidR="009517AA">
        <w:rPr>
          <w:rFonts w:ascii="Georgia" w:hAnsi="Georgia"/>
          <w:sz w:val="24"/>
          <w:szCs w:val="24"/>
        </w:rPr>
        <w:t xml:space="preserve"> rendelkezésre olyan adatok, melyek segítségével a pontszámok közötti kapcsolatot pillérenként is meg lehetett vizsgálni. </w:t>
      </w:r>
    </w:p>
    <w:p w14:paraId="24300B9F" w14:textId="6E9D75CC" w:rsidR="008E7EF8" w:rsidRDefault="004C33B3" w:rsidP="00D1320A">
      <w:pPr>
        <w:spacing w:line="360" w:lineRule="auto"/>
        <w:ind w:firstLine="709"/>
        <w:jc w:val="both"/>
        <w:rPr>
          <w:rFonts w:ascii="Georgia" w:hAnsi="Georgia"/>
          <w:sz w:val="24"/>
          <w:szCs w:val="24"/>
        </w:rPr>
      </w:pPr>
      <w:r>
        <w:rPr>
          <w:rFonts w:ascii="Georgia" w:hAnsi="Georgia"/>
          <w:sz w:val="24"/>
          <w:szCs w:val="24"/>
        </w:rPr>
        <w:t>A környezeti dimenzió esetében elmondható, hogy a Refinitiv és a Bloomberg pontszámai között továbbra is erős</w:t>
      </w:r>
      <w:r w:rsidR="00CD4208">
        <w:rPr>
          <w:rFonts w:ascii="Georgia" w:hAnsi="Georgia"/>
          <w:sz w:val="24"/>
          <w:szCs w:val="24"/>
        </w:rPr>
        <w:t xml:space="preserve"> (r=0,732)</w:t>
      </w:r>
      <w:r>
        <w:rPr>
          <w:rFonts w:ascii="Georgia" w:hAnsi="Georgia"/>
          <w:sz w:val="24"/>
          <w:szCs w:val="24"/>
        </w:rPr>
        <w:t>, 1%-os konfidenciaszinten is szig</w:t>
      </w:r>
      <w:r w:rsidR="00CD4208">
        <w:rPr>
          <w:rFonts w:ascii="Georgia" w:hAnsi="Georgia"/>
          <w:sz w:val="24"/>
          <w:szCs w:val="24"/>
        </w:rPr>
        <w:t>nifikáns kapcsolat található.</w:t>
      </w:r>
      <w:r w:rsidR="009D1A43">
        <w:rPr>
          <w:rFonts w:ascii="Georgia" w:hAnsi="Georgia"/>
          <w:sz w:val="24"/>
          <w:szCs w:val="24"/>
        </w:rPr>
        <w:t xml:space="preserve"> Ezzel szemben a Refinitiv és a S&amp;P pontszámai között már csupán közepes erősségű (r=0,460) szignifikáns kapcsolat fedezhető fel. Míg a Bloomberg és a S&amp;P pontszámai között nem beszélhetünk szignifikáns kapcsolatról. Ebben az esetben a korrelációs együttható értéke 0,441, mely egy közepes erősségű lineáris kapcsolatot jelez.</w:t>
      </w:r>
    </w:p>
    <w:p w14:paraId="1DEFDA19" w14:textId="52227DD8" w:rsidR="009764BC" w:rsidRDefault="009764BC" w:rsidP="00D1320A">
      <w:pPr>
        <w:spacing w:line="360" w:lineRule="auto"/>
        <w:ind w:firstLine="709"/>
        <w:jc w:val="both"/>
        <w:rPr>
          <w:rFonts w:ascii="Georgia" w:hAnsi="Georgia"/>
          <w:sz w:val="24"/>
          <w:szCs w:val="24"/>
        </w:rPr>
      </w:pPr>
      <w:r>
        <w:rPr>
          <w:rFonts w:ascii="Georgia" w:hAnsi="Georgia"/>
          <w:sz w:val="24"/>
          <w:szCs w:val="24"/>
        </w:rPr>
        <w:t xml:space="preserve">A társadalmi dimenzió esetében </w:t>
      </w:r>
      <w:r w:rsidR="001E6D39">
        <w:rPr>
          <w:rFonts w:ascii="Georgia" w:hAnsi="Georgia"/>
          <w:sz w:val="24"/>
          <w:szCs w:val="24"/>
        </w:rPr>
        <w:t xml:space="preserve">az előzőkhöz képest valamelyest gyengébb kapcsolatokat lehet megfigyelni. A Refinitiv és a Bloomberg pontszámai között már csupán közepes (r=0,565) korreláció mutatkozik, míg a Refinitiv és a S&amp;P pontszámainak kapcsolata erősnek tekinthető (r=0,695). Ezzel szemben </w:t>
      </w:r>
      <w:r w:rsidR="00AA08B0">
        <w:rPr>
          <w:rFonts w:ascii="Georgia" w:hAnsi="Georgia"/>
          <w:sz w:val="24"/>
          <w:szCs w:val="24"/>
        </w:rPr>
        <w:t xml:space="preserve">a Bloomberg és a S&amp;P ESG értékelései közepes erősségű (r=0,622) kapcsolatban állnak egymással. </w:t>
      </w:r>
      <w:r w:rsidR="001E6D39">
        <w:rPr>
          <w:rFonts w:ascii="Georgia" w:hAnsi="Georgia"/>
          <w:sz w:val="24"/>
          <w:szCs w:val="24"/>
        </w:rPr>
        <w:t xml:space="preserve">Mindhárom esetben 1%-on is szignifikáns kapcsolatról van szó. </w:t>
      </w:r>
    </w:p>
    <w:p w14:paraId="7A5B4C62" w14:textId="1042B637" w:rsidR="00514593" w:rsidRPr="00D1320A" w:rsidRDefault="00AA08B0" w:rsidP="00D1320A">
      <w:pPr>
        <w:spacing w:line="360" w:lineRule="auto"/>
        <w:ind w:firstLine="720"/>
        <w:jc w:val="both"/>
        <w:rPr>
          <w:rFonts w:ascii="Georgia" w:hAnsi="Georgia"/>
          <w:sz w:val="24"/>
          <w:szCs w:val="24"/>
        </w:rPr>
      </w:pPr>
      <w:r>
        <w:rPr>
          <w:rFonts w:ascii="Georgia" w:hAnsi="Georgia"/>
          <w:sz w:val="24"/>
          <w:szCs w:val="24"/>
        </w:rPr>
        <w:t>A vállalatirányítási dimenzió</w:t>
      </w:r>
      <w:r w:rsidR="00453F16">
        <w:rPr>
          <w:rFonts w:ascii="Georgia" w:hAnsi="Georgia"/>
          <w:sz w:val="24"/>
          <w:szCs w:val="24"/>
        </w:rPr>
        <w:t>t vizsgálva az látszik, hogy az ESG három szempontja közül ennél</w:t>
      </w:r>
      <w:r w:rsidR="003D0985">
        <w:rPr>
          <w:rFonts w:ascii="Georgia" w:hAnsi="Georgia"/>
          <w:sz w:val="24"/>
          <w:szCs w:val="24"/>
        </w:rPr>
        <w:t xml:space="preserve"> a szempontnál</w:t>
      </w:r>
      <w:r w:rsidR="00453F16">
        <w:rPr>
          <w:rFonts w:ascii="Georgia" w:hAnsi="Georgia"/>
          <w:sz w:val="24"/>
          <w:szCs w:val="24"/>
        </w:rPr>
        <w:t xml:space="preserve"> figyelhetők meg a leggyengébb korrelációk az egyes ESG minősítést végző társaságok értékelési között. Fontos azonban kiemelni, hogy a Bloomberg és a S&amp;P pontszámai között még ebben az esetben is egy 1%-os konfidenciaszinten szignifikáns közepes erősségű kapcsolat mutatható ki. Ezzel szemben a Refinitiv és a S&amp;P értékelési ugyan szignifikáns kapcsolatban állnak, azonban ezt a kapcsolatot már egy jóval gyengébb 0,458 erősségű korreláció jellemzi. A Refinitiv és a Bloomberg ESG pontszámai között pedig egyáltalán nem lehet szignifikáns kapcsolatról beszélni, itt ugyanis a vállalatirányítási dimenzió esetében már-már gyengének mondható (r=0,270) kapcsolat mutatkozik.</w:t>
      </w:r>
    </w:p>
    <w:p w14:paraId="5045C86A" w14:textId="66ABA4A1" w:rsidR="00E82843" w:rsidRDefault="00537D9E" w:rsidP="00514593">
      <w:pPr>
        <w:spacing w:line="360" w:lineRule="auto"/>
        <w:ind w:firstLine="709"/>
        <w:jc w:val="both"/>
        <w:rPr>
          <w:rFonts w:ascii="Georgia" w:hAnsi="Georgia"/>
          <w:sz w:val="24"/>
          <w:szCs w:val="24"/>
        </w:rPr>
      </w:pPr>
      <w:r>
        <w:rPr>
          <w:rFonts w:ascii="Georgia" w:hAnsi="Georgia"/>
          <w:sz w:val="24"/>
          <w:szCs w:val="24"/>
        </w:rPr>
        <w:t>Az ESG egyes dimenzió mentén végzett korrelációs vizsgálatból összességében az látszik, hogy a három szegmens közül a környezeti tényező az, mely</w:t>
      </w:r>
      <w:r w:rsidR="00E26BE5">
        <w:rPr>
          <w:rFonts w:ascii="Georgia" w:hAnsi="Georgia"/>
          <w:sz w:val="24"/>
          <w:szCs w:val="24"/>
        </w:rPr>
        <w:t xml:space="preserve">nél viszonylag szoros kapcsolat figyelhető meg az egyes minősítést végző társaságok értékelései között. Ennek hátterében az állhat, hogy környezeti felelősségvállalás, illetve a környezetvédelem érdekében tett intézkedések már </w:t>
      </w:r>
      <w:r w:rsidR="00E26BE5">
        <w:rPr>
          <w:rFonts w:ascii="Georgia" w:hAnsi="Georgia"/>
          <w:sz w:val="24"/>
          <w:szCs w:val="24"/>
        </w:rPr>
        <w:lastRenderedPageBreak/>
        <w:t xml:space="preserve">évek óta meghatározó szerepet játszanak az üzleti életben is. Ha például a karbonkibocsátásra és az arra vonatkozó szabályozásokra, különböző Európai Uniós előírásokra gondolunk, nyilvánvalóvá válik, hogy a vállalatok szabályozói oldalról valamelyest rá </w:t>
      </w:r>
      <w:r w:rsidR="009342BB">
        <w:rPr>
          <w:rFonts w:ascii="Georgia" w:hAnsi="Georgia"/>
          <w:sz w:val="24"/>
          <w:szCs w:val="24"/>
        </w:rPr>
        <w:t xml:space="preserve">is </w:t>
      </w:r>
      <w:r w:rsidR="00E26BE5">
        <w:rPr>
          <w:rFonts w:ascii="Georgia" w:hAnsi="Georgia"/>
          <w:sz w:val="24"/>
          <w:szCs w:val="24"/>
        </w:rPr>
        <w:t>vannak kényszerítve arra, hogy környezeti hatásukat folyamatosan monitorozzák. Ez a fajta fejlettség pedig a környezeti dimenzió pontosabb, több mutatószámmal való felmérésén keresztül az ESG pontszámokra is pozitív hatással lehet</w:t>
      </w:r>
      <w:r w:rsidR="009649EB">
        <w:rPr>
          <w:rFonts w:ascii="Georgia" w:hAnsi="Georgia"/>
          <w:sz w:val="24"/>
          <w:szCs w:val="24"/>
        </w:rPr>
        <w:t>, vagyis a minősítő társaságok számára már szélesebb körű információ állhat rendelkezésre. A társadalmi dimenzió esetében ez egyáltalán nem mondható el, hiszen egy-egy szociális tényezőhöz kapcsolódóan már önmagában az adott téma számszer</w:t>
      </w:r>
      <w:r w:rsidR="009342BB">
        <w:rPr>
          <w:rFonts w:ascii="Georgia" w:hAnsi="Georgia"/>
          <w:sz w:val="24"/>
          <w:szCs w:val="24"/>
        </w:rPr>
        <w:t>ű</w:t>
      </w:r>
      <w:r w:rsidR="009649EB">
        <w:rPr>
          <w:rFonts w:ascii="Georgia" w:hAnsi="Georgia"/>
          <w:sz w:val="24"/>
          <w:szCs w:val="24"/>
        </w:rPr>
        <w:t xml:space="preserve"> megragadása is problémát okozhat, így nem meglepő, hogy erre vonatkozóan a vizsgált minősítők között valamivel gyengébb kapcsolat mutatkozik. A vállalatirányítási szegmens esetében pedig ez a jelenség hatványozottan igaz. Ahogy a módszertani elemzésnél is láthattuk, ennél a dimenziónál a legszerteágazóbb azon </w:t>
      </w:r>
      <w:r w:rsidR="009342BB">
        <w:rPr>
          <w:rFonts w:ascii="Georgia" w:hAnsi="Georgia"/>
          <w:sz w:val="24"/>
          <w:szCs w:val="24"/>
        </w:rPr>
        <w:t xml:space="preserve">fenntarthatósághoz kapcsolódó </w:t>
      </w:r>
      <w:r w:rsidR="009649EB">
        <w:rPr>
          <w:rFonts w:ascii="Georgia" w:hAnsi="Georgia"/>
          <w:sz w:val="24"/>
          <w:szCs w:val="24"/>
        </w:rPr>
        <w:t>témák köre, melyeket egyáltalán az ESG minősítést végző társaságok megpróbálnak lefedni. Így nem kérdés, hogy ha a vállalatirányítási szemponthoz más-más témákat kötnek, akkor a pontszámok közötti kapcsolat is jóval gyengébb lesz.</w:t>
      </w:r>
    </w:p>
    <w:p w14:paraId="3AF0E72D" w14:textId="11FA7421" w:rsidR="00514593" w:rsidRDefault="00514593" w:rsidP="00514593">
      <w:pPr>
        <w:spacing w:line="360" w:lineRule="auto"/>
        <w:ind w:firstLine="709"/>
        <w:jc w:val="both"/>
        <w:rPr>
          <w:rFonts w:ascii="Georgia" w:hAnsi="Georgia"/>
          <w:sz w:val="24"/>
          <w:szCs w:val="24"/>
        </w:rPr>
      </w:pPr>
      <w:r>
        <w:rPr>
          <w:rFonts w:ascii="Georgia" w:hAnsi="Georgia"/>
          <w:sz w:val="24"/>
          <w:szCs w:val="24"/>
        </w:rPr>
        <w:t>Az előzőknél talán még érdekesebb kérdés, hogy bizonyos iparágak mentén hogyan alakul az egyes ESG minősítést végző társaságok által közreadott pontszámok közötti kapcsolat</w:t>
      </w:r>
      <w:r w:rsidR="006D4CB2">
        <w:rPr>
          <w:rFonts w:ascii="Georgia" w:hAnsi="Georgia"/>
          <w:sz w:val="24"/>
          <w:szCs w:val="24"/>
        </w:rPr>
        <w:t xml:space="preserve">. Ez azért is fontos, mert ahogyan a minősítők módszertanával foglalkozó fejezetben is láthattuk, </w:t>
      </w:r>
      <w:r w:rsidR="003D0985">
        <w:rPr>
          <w:rFonts w:ascii="Georgia" w:hAnsi="Georgia"/>
          <w:sz w:val="24"/>
          <w:szCs w:val="24"/>
        </w:rPr>
        <w:t xml:space="preserve">a minősítő társaságok </w:t>
      </w:r>
      <w:r w:rsidR="006D4CB2">
        <w:rPr>
          <w:rFonts w:ascii="Georgia" w:hAnsi="Georgia"/>
          <w:sz w:val="24"/>
          <w:szCs w:val="24"/>
        </w:rPr>
        <w:t xml:space="preserve">számos esetben speciális, iparágspecifikus elemeket is beépítenek az értékelésekbe, így érdemes lehet azzal foglalkozni, hogy ennek eredményeképp mennyiben jutnak azonos eredményre. Az iparágankénti kapcsolatvizsgálatot az eredeti 40 elemű mintán végeztem el. Ennek előnye, hogy minden iparágból azonosan 5-5 vállalat szerepel a mintában, így egyik iparág sem felülreprezentált. A 40 elemű minta alkalmazásának egyik legnagyobb hátránya azonban, hogy így csupán a Refinitiv és a Bloomberg pontszámainak összehasonlítására nyílik lehetőség. Viszont azt is érdemes kiemelni, hogy e két minősítő pontszámai között a fentebb bemutatott esetek többségében stabilan, erős kapcsolatot találtam, így érdekes lehet arra kitérni, hogy hogyan alakul ez az eredmény az egyes iparágak szintjén. </w:t>
      </w:r>
    </w:p>
    <w:p w14:paraId="2D6D5B69" w14:textId="77777777" w:rsidR="00D1320A" w:rsidRDefault="006D4CB2" w:rsidP="00D1320A">
      <w:pPr>
        <w:spacing w:line="360" w:lineRule="auto"/>
        <w:ind w:firstLine="709"/>
        <w:jc w:val="both"/>
        <w:rPr>
          <w:rFonts w:ascii="Georgia" w:hAnsi="Georgia"/>
          <w:sz w:val="24"/>
          <w:szCs w:val="24"/>
        </w:rPr>
      </w:pPr>
      <w:r>
        <w:rPr>
          <w:rFonts w:ascii="Georgia" w:hAnsi="Georgia"/>
          <w:sz w:val="24"/>
          <w:szCs w:val="24"/>
        </w:rPr>
        <w:t xml:space="preserve">Az elvégzett kapcsolatvizsgálat azt mutatja, hogy az előzetesen kiválasztott nyolc iparág közül csupán három esetben (energia, pénzügy, egészségügy) </w:t>
      </w:r>
      <w:r>
        <w:rPr>
          <w:rFonts w:ascii="Georgia" w:hAnsi="Georgia"/>
          <w:sz w:val="24"/>
          <w:szCs w:val="24"/>
        </w:rPr>
        <w:lastRenderedPageBreak/>
        <w:t xml:space="preserve">beszélhetünk szignifikáns kapcsolatról. Ez a kapcsolat pedig jellemzően erős, a korrelációs együttható </w:t>
      </w:r>
      <w:r w:rsidR="009E01B9">
        <w:rPr>
          <w:rFonts w:ascii="Georgia" w:hAnsi="Georgia"/>
          <w:sz w:val="24"/>
          <w:szCs w:val="24"/>
        </w:rPr>
        <w:t xml:space="preserve">rendre 0,9 vagy afölötti értékeket vesz fel. A többi iparág esetében is erős, pozitív kapcsolat jellemzi a Refinitiv és a Bloomberg pontszámai közötti viszonyt, melyhez az alapanyagok, illetve ciklikus fogyasztási cikkek esetében 0,7 fölötti korrelációs együttható társul. Ettől még erősebb kapcsolat figyelhető meg a technológiai </w:t>
      </w:r>
      <w:r w:rsidR="00FE73DB">
        <w:rPr>
          <w:rFonts w:ascii="Georgia" w:hAnsi="Georgia"/>
          <w:sz w:val="24"/>
          <w:szCs w:val="24"/>
        </w:rPr>
        <w:t>szektor, illetve az ipari termékek</w:t>
      </w:r>
      <w:r w:rsidR="009E01B9">
        <w:rPr>
          <w:rFonts w:ascii="Georgia" w:hAnsi="Georgia"/>
          <w:sz w:val="24"/>
          <w:szCs w:val="24"/>
        </w:rPr>
        <w:t xml:space="preserve"> esetében, ahol az r értéke</w:t>
      </w:r>
      <w:r w:rsidR="00FE73DB">
        <w:rPr>
          <w:rFonts w:ascii="Georgia" w:hAnsi="Georgia"/>
          <w:sz w:val="24"/>
          <w:szCs w:val="24"/>
        </w:rPr>
        <w:t xml:space="preserve"> rendre</w:t>
      </w:r>
      <w:r w:rsidR="009E01B9">
        <w:rPr>
          <w:rFonts w:ascii="Georgia" w:hAnsi="Georgia"/>
          <w:sz w:val="24"/>
          <w:szCs w:val="24"/>
        </w:rPr>
        <w:t xml:space="preserve"> 0,855</w:t>
      </w:r>
      <w:r w:rsidR="00FE73DB">
        <w:rPr>
          <w:rFonts w:ascii="Georgia" w:hAnsi="Georgia"/>
          <w:sz w:val="24"/>
          <w:szCs w:val="24"/>
        </w:rPr>
        <w:t xml:space="preserve"> és 0,823</w:t>
      </w:r>
      <w:r w:rsidR="009E01B9">
        <w:rPr>
          <w:rFonts w:ascii="Georgia" w:hAnsi="Georgia"/>
          <w:sz w:val="24"/>
          <w:szCs w:val="24"/>
        </w:rPr>
        <w:t xml:space="preserve">. Ezzel szemben a nem ciklikus fogyasztási cikkek iparágát közepes, pozitív irányú korrelációval lehet jellemezni a Refinitiv és a Bloomberg ESG pontszámai tekintetében. Fontos azonban kiemelni, hogy az utóbbi öt szektor esetében a feltárt kapcsolatok szorossága sem 1%-os, sem 5%-os konfidenciaszinten nem tekinthetőek szignifikánsnak. </w:t>
      </w:r>
    </w:p>
    <w:p w14:paraId="23036D21" w14:textId="1960B0DA" w:rsidR="008F6BCD" w:rsidRPr="00D1320A" w:rsidRDefault="00004E6B" w:rsidP="00D1320A">
      <w:pPr>
        <w:spacing w:line="360" w:lineRule="auto"/>
        <w:ind w:firstLine="709"/>
        <w:jc w:val="both"/>
        <w:rPr>
          <w:rFonts w:ascii="Georgia" w:hAnsi="Georgia"/>
          <w:sz w:val="24"/>
          <w:szCs w:val="24"/>
        </w:rPr>
      </w:pPr>
      <w:r w:rsidRPr="00004E6B">
        <w:rPr>
          <w:rFonts w:ascii="Georgia" w:hAnsi="Georgia"/>
          <w:sz w:val="24"/>
          <w:szCs w:val="24"/>
        </w:rPr>
        <w:t>Ez az eredmény azzal magyarázható, hogy az energiaszektor, a pénzügyi, illetve egészségügyi iparágak fenntarthatósági szempontból nagyobb jelentőséggel bírnak és a tevékenységek jellegéből adódóan számos olyan iparágspecifikus mutatószám állhat rendelkezésre, melyek segítségével az ESG minősítést végző társaságok pontosabban fel tudják mérni az ezekben az iparágakban tevékenykedő vállalatoknak a fenntarthatósági teljesítményét.</w:t>
      </w:r>
    </w:p>
    <w:p w14:paraId="26972CDE" w14:textId="27655950" w:rsidR="008F6BCD" w:rsidRDefault="008F6BCD" w:rsidP="008F6BCD">
      <w:pPr>
        <w:spacing w:line="360" w:lineRule="auto"/>
        <w:ind w:firstLine="709"/>
        <w:jc w:val="both"/>
        <w:rPr>
          <w:rFonts w:ascii="Georgia" w:hAnsi="Georgia"/>
          <w:sz w:val="24"/>
          <w:szCs w:val="24"/>
        </w:rPr>
      </w:pPr>
      <w:r>
        <w:rPr>
          <w:rFonts w:ascii="Georgia" w:hAnsi="Georgia"/>
          <w:sz w:val="24"/>
          <w:szCs w:val="24"/>
        </w:rPr>
        <w:t>Az aggregált pontszámok mellett az ESG egyes dimenziói mentén is érdemes megvizsgálni, hogy</w:t>
      </w:r>
      <w:r w:rsidRPr="008F6BCD">
        <w:rPr>
          <w:rFonts w:ascii="Georgia" w:hAnsi="Georgia"/>
          <w:sz w:val="24"/>
          <w:szCs w:val="24"/>
        </w:rPr>
        <w:t xml:space="preserve"> </w:t>
      </w:r>
      <w:r>
        <w:rPr>
          <w:rFonts w:ascii="Georgia" w:hAnsi="Georgia"/>
          <w:sz w:val="24"/>
          <w:szCs w:val="24"/>
        </w:rPr>
        <w:t>a vizsgált iparágakban hogyan alakult a minősítők által kiadott értékelések közötti kapcsolat.</w:t>
      </w:r>
    </w:p>
    <w:p w14:paraId="5DE83810" w14:textId="0369B78E" w:rsidR="00F846EC" w:rsidRDefault="00F846EC" w:rsidP="00E71D0C">
      <w:pPr>
        <w:spacing w:after="0" w:line="360" w:lineRule="auto"/>
        <w:ind w:firstLine="709"/>
        <w:jc w:val="both"/>
        <w:rPr>
          <w:rFonts w:ascii="Georgia" w:hAnsi="Georgia"/>
          <w:sz w:val="24"/>
          <w:szCs w:val="24"/>
        </w:rPr>
      </w:pPr>
      <w:r>
        <w:rPr>
          <w:rFonts w:ascii="Georgia" w:hAnsi="Georgia"/>
          <w:sz w:val="24"/>
          <w:szCs w:val="24"/>
        </w:rPr>
        <w:t>Az elvégzett korrelációszámítás eredménye azt mutatja, hogy a környezeti dimenzión belül csupán egyetlen iparág, az energiaszektor esetében beszélhetünk szignifikáns és egyben meglehetősen szoros (r=0,948) kapcsolatról a Refinitiv és a Bloomberg pontszámai között. Emellett a nem ciklikus fogyasztási cikkek, illetve a technológiai iparág esetében figyelhető még meg viszonylag szoros, 0,8</w:t>
      </w:r>
      <w:r w:rsidR="00C322BC">
        <w:rPr>
          <w:rFonts w:ascii="Georgia" w:hAnsi="Georgia"/>
          <w:sz w:val="24"/>
          <w:szCs w:val="24"/>
        </w:rPr>
        <w:t xml:space="preserve">-at meghaladó korreláció a pontszámok között. Míg az ipari termékek iparágához, a pénzügyi szektorhoz és a ciklikus fogyasztási cikkek iparágához kötődő ESG pontszámok közötti kapcsolatot is erős, pozitív irányú korreláció jellemzi, ahol az r értéke rendre 0,7 feletti értékeket vesz fel. Ezzel szemben az alapanyagok tekintetében már valamilyen gyengébb korrelációról beszélhetünk, hiszen ennél az iparágnál a Refinitiv és a Bloomberg pontszámai közötti kapcsolat közepes erősségűnek tekinthető. A korrelációs együttható értéke 0,6 alatt marad. A legszembetűnőbb eredmény azonban az egészügyi szektorra vonatkozóan állt elő, </w:t>
      </w:r>
      <w:r w:rsidR="00C322BC">
        <w:rPr>
          <w:rFonts w:ascii="Georgia" w:hAnsi="Georgia"/>
          <w:sz w:val="24"/>
          <w:szCs w:val="24"/>
        </w:rPr>
        <w:lastRenderedPageBreak/>
        <w:t xml:space="preserve">ahol az eddigi leggyengébb </w:t>
      </w:r>
      <w:r w:rsidR="00A7622A">
        <w:rPr>
          <w:rFonts w:ascii="Georgia" w:hAnsi="Georgia"/>
          <w:sz w:val="24"/>
          <w:szCs w:val="24"/>
        </w:rPr>
        <w:t>kapcsolatot sikerült feltárni a Refinitiv és a Bloomberg értékelései között, hiszen a r értéke ebben az esetben nem éri el a 0,2-t. Fontos azonban kiemelni, hogy az energiaszektort leszámítva egyik iparág esetében sem beszélhetünk szignifikáns kapcsolatról a környezeti dimenzióra vonatkozó pontszámok mentén.</w:t>
      </w:r>
    </w:p>
    <w:p w14:paraId="09B37B50" w14:textId="22838EF8" w:rsidR="00E9018F" w:rsidRDefault="00E9018F" w:rsidP="008F6BCD">
      <w:pPr>
        <w:spacing w:line="360" w:lineRule="auto"/>
        <w:ind w:firstLine="709"/>
        <w:jc w:val="both"/>
        <w:rPr>
          <w:rFonts w:ascii="Georgia" w:hAnsi="Georgia"/>
          <w:sz w:val="24"/>
          <w:szCs w:val="24"/>
        </w:rPr>
      </w:pPr>
      <w:r>
        <w:rPr>
          <w:rFonts w:ascii="Georgia" w:hAnsi="Georgia"/>
          <w:sz w:val="24"/>
          <w:szCs w:val="24"/>
        </w:rPr>
        <w:t>A kapott eredmények hátterében az állhat, hogy az energiaszektor esetében a környezeti tényező meghatározó jelentőséggel bír, így feltételezhetően a vállalatok is megfelelő mutatószámrendszert építettek ki a működés környezeti hatásainak minél pontosabb felmérésére. Ez pedig nagyban hozzájárulhat ahhoz, hogy az egyes minősítést végző társaságok hasonló módon értékelik az energiaszektorban szereplő vállalatok fenntarthatósági teljesítményét. Az egészégügyi iparág tekintetében azonban a korrelációs vizsgálat meglepő eredményre jutott. Előzetes</w:t>
      </w:r>
      <w:r w:rsidR="00676095">
        <w:rPr>
          <w:rFonts w:ascii="Georgia" w:hAnsi="Georgia"/>
          <w:sz w:val="24"/>
          <w:szCs w:val="24"/>
        </w:rPr>
        <w:t>en</w:t>
      </w:r>
      <w:r>
        <w:rPr>
          <w:rFonts w:ascii="Georgia" w:hAnsi="Georgia"/>
          <w:sz w:val="24"/>
          <w:szCs w:val="24"/>
        </w:rPr>
        <w:t xml:space="preserve"> azt gondolhattuk, hogy mivel az egészségügy, különösen a gyógyszergyártás jelentős környezeti terheléssel bír, így az ESG minősítők pontszámaiban is nagy hangsúly helyeződik erre a területre. Az eredmények azonban azt mutatják, hogy a vizsgált ESG minősítő társaságok rendkívül szerteágazóan értékelik az egészségügyben tevékenykedő vállalatok környezeti teljesítményét</w:t>
      </w:r>
      <w:r w:rsidR="00E71D0C">
        <w:rPr>
          <w:rFonts w:ascii="Georgia" w:hAnsi="Georgia"/>
          <w:sz w:val="24"/>
          <w:szCs w:val="24"/>
        </w:rPr>
        <w:t xml:space="preserve">, melynek hátterében számos módszertani eltérés állhat. </w:t>
      </w:r>
    </w:p>
    <w:p w14:paraId="3A70F329" w14:textId="292925B0" w:rsidR="00A7622A" w:rsidRDefault="00606070" w:rsidP="00FB77BD">
      <w:pPr>
        <w:spacing w:after="0" w:line="360" w:lineRule="auto"/>
        <w:ind w:firstLine="709"/>
        <w:jc w:val="both"/>
        <w:rPr>
          <w:rFonts w:ascii="Georgia" w:hAnsi="Georgia"/>
          <w:sz w:val="24"/>
          <w:szCs w:val="24"/>
        </w:rPr>
      </w:pPr>
      <w:r>
        <w:rPr>
          <w:rFonts w:ascii="Georgia" w:hAnsi="Georgia"/>
          <w:sz w:val="24"/>
          <w:szCs w:val="24"/>
        </w:rPr>
        <w:t xml:space="preserve">A társadalmi dimenzió esetében szintén egyetlen iparágra, a pénzügyi szektorra vonatkozóan bizonyult szignifikánsnak a Refinitiv és a Bloomberg pontszámai közötti kapcsolat, ahol a korrelációs együttható 0,966-os értéket vesz fel. Így kijelenthető, hogy egy rendkívül erős, pozitív irányú kapcsolatról van szó. A szociális szempontra vonatkozó pontszámok között az alapanyagok és az ipari termékek esetében 0,8-at meghaladó szorosságú korreláció figyelhető meg, míg az egészségügyi szektornál és a nem ciklikus fogyasztási cikkek iparágánál valamivel gyengébb, de továbbra is erős 0,7 körüli korreláció mutatkozik. Ezzel szemben a Refinitiv és a Bloomberg értékelései között közepes erősségű kapcsolatot találtam az energiaszektor és a technológiai iparág esetében is. </w:t>
      </w:r>
      <w:r w:rsidR="00CC5E91">
        <w:rPr>
          <w:rFonts w:ascii="Georgia" w:hAnsi="Georgia"/>
          <w:sz w:val="24"/>
          <w:szCs w:val="24"/>
        </w:rPr>
        <w:t xml:space="preserve">A leglátványosabb eredmény azonban a ciklikus fogyasztási cikkekhez kapcsolódik, ahol a korrelációs együttható értéke a 0,2-es szintet sem éri el, így ebben az esetben gyenge, pozitív irányú kapcsolat jellemzi a Refinitiv és a Bloomberg pontszámainak viszonyát. </w:t>
      </w:r>
    </w:p>
    <w:p w14:paraId="2A979C51" w14:textId="5CC07500" w:rsidR="00E71D0C" w:rsidRDefault="00E92577" w:rsidP="008F6BCD">
      <w:pPr>
        <w:spacing w:line="360" w:lineRule="auto"/>
        <w:ind w:firstLine="709"/>
        <w:jc w:val="both"/>
        <w:rPr>
          <w:rFonts w:ascii="Georgia" w:hAnsi="Georgia"/>
          <w:sz w:val="24"/>
          <w:szCs w:val="24"/>
        </w:rPr>
      </w:pPr>
      <w:r>
        <w:rPr>
          <w:rFonts w:ascii="Georgia" w:hAnsi="Georgia"/>
          <w:sz w:val="24"/>
          <w:szCs w:val="24"/>
        </w:rPr>
        <w:t xml:space="preserve">A pénzügyi szektorra vonatkozó szignifikáns kapcsolat azzal magyarázható, hogy az ebben az iparágban szereplő pénzügyi intézmények </w:t>
      </w:r>
      <w:r>
        <w:rPr>
          <w:rFonts w:ascii="Georgia" w:hAnsi="Georgia"/>
          <w:sz w:val="24"/>
          <w:szCs w:val="24"/>
        </w:rPr>
        <w:lastRenderedPageBreak/>
        <w:t>tevékenységük jellegéből fakadóan állandó kapcsolatban állnak a társadalommal, hiszen a sikeres működéshez nagy szükség van az ügyfelek részéről támasztott bizalomnak</w:t>
      </w:r>
      <w:r w:rsidR="00C56C51">
        <w:rPr>
          <w:rFonts w:ascii="Georgia" w:hAnsi="Georgia"/>
          <w:sz w:val="24"/>
          <w:szCs w:val="24"/>
        </w:rPr>
        <w:t xml:space="preserve"> is</w:t>
      </w:r>
      <w:r>
        <w:rPr>
          <w:rFonts w:ascii="Georgia" w:hAnsi="Georgia"/>
          <w:sz w:val="24"/>
          <w:szCs w:val="24"/>
        </w:rPr>
        <w:t xml:space="preserve">. Feltételezhető tehát, hogy a minősítést végző társaságok is </w:t>
      </w:r>
      <w:r w:rsidR="003574AC">
        <w:rPr>
          <w:rFonts w:ascii="Georgia" w:hAnsi="Georgia"/>
          <w:sz w:val="24"/>
          <w:szCs w:val="24"/>
        </w:rPr>
        <w:t xml:space="preserve">ezen elvek mentén tulajdonítanak nagyobb jelentőséget a társadalmi tényezőnek és jutnak hasonló eredményre a vállalatok fenntarthatósági teljesítményének értékelése során. Fontos azonban kitérni az egészségügyi szektorra vonatkozó eredményekre is. Habár ebben az esetben pozitív irányú, erős kapcsolat áll fenn az egyes ESG minősítést végző társaságok pontszámai között, a korreláció mégsem tekinthető szignifikánsnak. Ez azért is érdekes, mert az egészségügyi szektor társadalmi jelentősége kétségkívül megkérdőjelezhetetlen. Felmerül tehát a kérdés, hogy hogyan lehetséges mégis az, hogy az egyes minősítők pontszámai nem mutatnak szignifikáns kapcsolatot. Feltehetőleg ebben az esetben is </w:t>
      </w:r>
      <w:r w:rsidR="00FB77BD">
        <w:rPr>
          <w:rFonts w:ascii="Georgia" w:hAnsi="Georgia"/>
          <w:sz w:val="24"/>
          <w:szCs w:val="24"/>
        </w:rPr>
        <w:t xml:space="preserve">az értékeléshez kötődő </w:t>
      </w:r>
      <w:r w:rsidR="003574AC">
        <w:rPr>
          <w:rFonts w:ascii="Georgia" w:hAnsi="Georgia"/>
          <w:sz w:val="24"/>
          <w:szCs w:val="24"/>
        </w:rPr>
        <w:t>módszertani eltérések</w:t>
      </w:r>
      <w:r w:rsidR="00FB77BD">
        <w:rPr>
          <w:rFonts w:ascii="Georgia" w:hAnsi="Georgia"/>
          <w:sz w:val="24"/>
          <w:szCs w:val="24"/>
        </w:rPr>
        <w:t xml:space="preserve">ről van szó. </w:t>
      </w:r>
    </w:p>
    <w:p w14:paraId="3E824940" w14:textId="77777777" w:rsidR="00FB77BD" w:rsidRDefault="00664224" w:rsidP="00FB77BD">
      <w:pPr>
        <w:spacing w:after="0" w:line="360" w:lineRule="auto"/>
        <w:ind w:firstLine="709"/>
        <w:jc w:val="both"/>
        <w:rPr>
          <w:rFonts w:ascii="Georgia" w:hAnsi="Georgia"/>
          <w:sz w:val="24"/>
          <w:szCs w:val="24"/>
        </w:rPr>
      </w:pPr>
      <w:r>
        <w:rPr>
          <w:rFonts w:ascii="Georgia" w:hAnsi="Georgia"/>
          <w:sz w:val="24"/>
          <w:szCs w:val="24"/>
        </w:rPr>
        <w:t xml:space="preserve">A vállalatirányítási dimenzióra vonatkozóan megállapítható, hogy kizárólag az energiaszektor esetében figyelhető meg szignifikáns, </w:t>
      </w:r>
      <w:r w:rsidR="004B534B">
        <w:rPr>
          <w:rFonts w:ascii="Georgia" w:hAnsi="Georgia"/>
          <w:sz w:val="24"/>
          <w:szCs w:val="24"/>
        </w:rPr>
        <w:t xml:space="preserve">0,920 erősségű korrelációs kapcsolat a Refinitiv és a Bloomberg pontszámai között. Emellett pedig a ciklikus fogyasztási cikkek iparágánál található még viszonylag erős kapcsolat (r=0,875). A többi iparág tekintetében általánosságban véve megállapítható, hogy a másik két ESG dimenzióhoz képest jóval gyengébb korrelációs értékek fedezhetők fel. Az alapanyagok, a pénzügy, az ipari termékek és a technológia iparágára vonatkozóan a Refinitiv és a Bloomberg pontszámai közötti kapcsolat 0,3 és 0,4 közötti korrelációs együtthatókkal jellemezhető, mely még közepes erősségűnek tekinthető. Ezzel szemben az egészségügyi szektorban, illetve a nem ciklikus fogyasztási cikkek iparágában a korrelációs együttható értéke még a 0,1-et sem éri el, így ezekben az esetekben az ESG </w:t>
      </w:r>
      <w:r w:rsidR="00E835C5">
        <w:rPr>
          <w:rFonts w:ascii="Georgia" w:hAnsi="Georgia"/>
          <w:sz w:val="24"/>
          <w:szCs w:val="24"/>
        </w:rPr>
        <w:t>értékelések vállalatirányítási dimenziói között lényegében nincs lineáris kapcsolat.</w:t>
      </w:r>
    </w:p>
    <w:p w14:paraId="067376C8" w14:textId="49480E37" w:rsidR="00CC5E91" w:rsidRDefault="00FB77BD" w:rsidP="008F6BCD">
      <w:pPr>
        <w:spacing w:line="360" w:lineRule="auto"/>
        <w:ind w:firstLine="709"/>
        <w:jc w:val="both"/>
        <w:rPr>
          <w:rFonts w:ascii="Georgia" w:hAnsi="Georgia"/>
          <w:sz w:val="24"/>
          <w:szCs w:val="24"/>
        </w:rPr>
      </w:pPr>
      <w:r>
        <w:rPr>
          <w:rFonts w:ascii="Georgia" w:hAnsi="Georgia"/>
          <w:sz w:val="24"/>
          <w:szCs w:val="24"/>
        </w:rPr>
        <w:t>Az eredményeket tekintve tehát megállapítható, hogy az összesített pontszámokhoz hasonlóan az egyes iparágak mentén is felfedezhető, hogy az ESG három szegmense közül a vállalatirányítási dimenzió az, amelynél a vizsgált minősítők értékelési inkonzisztenciát mutatnak.</w:t>
      </w:r>
      <w:r w:rsidR="00E835C5">
        <w:rPr>
          <w:rFonts w:ascii="Georgia" w:hAnsi="Georgia"/>
          <w:sz w:val="24"/>
          <w:szCs w:val="24"/>
        </w:rPr>
        <w:t xml:space="preserve"> </w:t>
      </w:r>
    </w:p>
    <w:p w14:paraId="2BA942EB" w14:textId="3CDBBAEE" w:rsidR="006C4424" w:rsidRDefault="006C4424" w:rsidP="008F6BCD">
      <w:pPr>
        <w:spacing w:line="360" w:lineRule="auto"/>
        <w:ind w:firstLine="709"/>
        <w:jc w:val="both"/>
        <w:rPr>
          <w:rFonts w:ascii="Georgia" w:hAnsi="Georgia"/>
          <w:sz w:val="24"/>
          <w:szCs w:val="24"/>
        </w:rPr>
      </w:pPr>
      <w:r>
        <w:rPr>
          <w:rFonts w:ascii="Georgia" w:hAnsi="Georgia"/>
          <w:sz w:val="24"/>
          <w:szCs w:val="24"/>
        </w:rPr>
        <w:t xml:space="preserve">Mivel számos kutatás rámutatott arra, hogy a vállalatok fenntarthatósági teljesítményének mérési lehetőségeit, és ezáltal az ESG pontszámok az általános pénzügyi és nem pénzügyi mutatókon túl </w:t>
      </w:r>
      <w:r w:rsidR="00F73BCA">
        <w:rPr>
          <w:rFonts w:ascii="Georgia" w:hAnsi="Georgia"/>
          <w:sz w:val="24"/>
          <w:szCs w:val="24"/>
        </w:rPr>
        <w:t xml:space="preserve">a vállalat mérete és földrajzi </w:t>
      </w:r>
      <w:r w:rsidR="00F73BCA">
        <w:rPr>
          <w:rFonts w:ascii="Georgia" w:hAnsi="Georgia"/>
          <w:sz w:val="24"/>
          <w:szCs w:val="24"/>
        </w:rPr>
        <w:lastRenderedPageBreak/>
        <w:t>elhelyezkedése is befolyásolhatja, ezért kutatás</w:t>
      </w:r>
      <w:r w:rsidR="00FE54A6">
        <w:rPr>
          <w:rFonts w:ascii="Georgia" w:hAnsi="Georgia"/>
          <w:sz w:val="24"/>
          <w:szCs w:val="24"/>
        </w:rPr>
        <w:t>unk</w:t>
      </w:r>
      <w:r w:rsidR="00F73BCA">
        <w:rPr>
          <w:rFonts w:ascii="Georgia" w:hAnsi="Georgia"/>
          <w:sz w:val="24"/>
          <w:szCs w:val="24"/>
        </w:rPr>
        <w:t xml:space="preserve"> keretében kitért</w:t>
      </w:r>
      <w:r w:rsidR="00FE54A6">
        <w:rPr>
          <w:rFonts w:ascii="Georgia" w:hAnsi="Georgia"/>
          <w:sz w:val="24"/>
          <w:szCs w:val="24"/>
        </w:rPr>
        <w:t>ünk</w:t>
      </w:r>
      <w:r w:rsidR="00F73BCA">
        <w:rPr>
          <w:rFonts w:ascii="Georgia" w:hAnsi="Georgia"/>
          <w:sz w:val="24"/>
          <w:szCs w:val="24"/>
        </w:rPr>
        <w:t xml:space="preserve"> ezen feltevések helyességének vizsgálatára is. Ezeket a kapcsolatvizsgálatokat szintén a 40 elemű mintán végezt</w:t>
      </w:r>
      <w:r w:rsidR="00FE54A6">
        <w:rPr>
          <w:rFonts w:ascii="Georgia" w:hAnsi="Georgia"/>
          <w:sz w:val="24"/>
          <w:szCs w:val="24"/>
        </w:rPr>
        <w:t>ük</w:t>
      </w:r>
      <w:r w:rsidR="00F73BCA">
        <w:rPr>
          <w:rFonts w:ascii="Georgia" w:hAnsi="Georgia"/>
          <w:sz w:val="24"/>
          <w:szCs w:val="24"/>
        </w:rPr>
        <w:t xml:space="preserve"> el.</w:t>
      </w:r>
    </w:p>
    <w:p w14:paraId="626FFEFD" w14:textId="2B138E6D" w:rsidR="00F73BCA" w:rsidRDefault="00F73BCA" w:rsidP="008F6BCD">
      <w:pPr>
        <w:spacing w:line="360" w:lineRule="auto"/>
        <w:ind w:firstLine="709"/>
        <w:jc w:val="both"/>
        <w:rPr>
          <w:rFonts w:ascii="Georgia" w:hAnsi="Georgia"/>
          <w:sz w:val="24"/>
          <w:szCs w:val="24"/>
        </w:rPr>
      </w:pPr>
      <w:r>
        <w:rPr>
          <w:rFonts w:ascii="Georgia" w:hAnsi="Georgia"/>
          <w:sz w:val="24"/>
          <w:szCs w:val="24"/>
        </w:rPr>
        <w:t xml:space="preserve">A vállalatok méretére vonatkozóan megállapítható, hogy mind a Refinitiv, mint a Bloomberg értékelései esetében közepes erősségű szignifikáns kapcsolat húzódik a vállalat eszközeinek értéke és az aggregált ESG pontszámok között. </w:t>
      </w:r>
      <w:r w:rsidR="00FB77BD">
        <w:rPr>
          <w:rFonts w:ascii="Georgia" w:hAnsi="Georgia"/>
          <w:sz w:val="24"/>
          <w:szCs w:val="24"/>
        </w:rPr>
        <w:t xml:space="preserve">Ennek hátterében az állhat, hogy a nagyobb, tőkeerősebb vállalatok jellemzően jobban kiépített információs rendszerrel rendelkeznek, és ezáltal </w:t>
      </w:r>
      <w:r w:rsidR="00E509AB">
        <w:rPr>
          <w:rFonts w:ascii="Georgia" w:hAnsi="Georgia"/>
          <w:sz w:val="24"/>
          <w:szCs w:val="24"/>
        </w:rPr>
        <w:t xml:space="preserve">a minősítést végző társaságok is pontosabb képet tudnak festeni az adott vállalat fenntarthatósági teljesítményéről. Emellett a vállalatmérethez kötődően </w:t>
      </w:r>
      <w:r w:rsidR="00C56C51">
        <w:rPr>
          <w:rFonts w:ascii="Georgia" w:hAnsi="Georgia"/>
          <w:sz w:val="24"/>
          <w:szCs w:val="24"/>
        </w:rPr>
        <w:t>előfordulhat az</w:t>
      </w:r>
      <w:r w:rsidR="00E509AB">
        <w:rPr>
          <w:rFonts w:ascii="Georgia" w:hAnsi="Georgia"/>
          <w:sz w:val="24"/>
          <w:szCs w:val="24"/>
        </w:rPr>
        <w:t xml:space="preserve"> is, hogy a nagyobb vállalatok piaci erejüknél fogva, illetve alkupozíciójuk révén nyomást gyakorolhatnak a minősítőkre, annak érdekében, hogy végül kedvezőbb ESG pontszámot kapjanak. </w:t>
      </w:r>
      <w:r>
        <w:rPr>
          <w:rFonts w:ascii="Georgia" w:hAnsi="Georgia"/>
          <w:sz w:val="24"/>
          <w:szCs w:val="24"/>
        </w:rPr>
        <w:t>Így H</w:t>
      </w:r>
      <w:r w:rsidRPr="00F73BCA">
        <w:rPr>
          <w:rFonts w:ascii="Georgia" w:hAnsi="Georgia"/>
          <w:sz w:val="24"/>
          <w:szCs w:val="24"/>
          <w:vertAlign w:val="subscript"/>
        </w:rPr>
        <w:t>1</w:t>
      </w:r>
      <w:r>
        <w:rPr>
          <w:rFonts w:ascii="Georgia" w:hAnsi="Georgia"/>
          <w:sz w:val="24"/>
          <w:szCs w:val="24"/>
        </w:rPr>
        <w:t xml:space="preserve"> hipotézist el lehet fogadni.</w:t>
      </w:r>
    </w:p>
    <w:p w14:paraId="213601ED" w14:textId="0CD46EF4" w:rsidR="00F73BCA" w:rsidRDefault="00F73BCA" w:rsidP="008F6BCD">
      <w:pPr>
        <w:spacing w:line="360" w:lineRule="auto"/>
        <w:ind w:firstLine="709"/>
        <w:jc w:val="both"/>
        <w:rPr>
          <w:rFonts w:ascii="Georgia" w:hAnsi="Georgia"/>
          <w:sz w:val="24"/>
          <w:szCs w:val="24"/>
        </w:rPr>
      </w:pPr>
      <w:r>
        <w:rPr>
          <w:rFonts w:ascii="Georgia" w:hAnsi="Georgia"/>
          <w:sz w:val="24"/>
          <w:szCs w:val="24"/>
        </w:rPr>
        <w:t>A földrajzi elhelyezkedés tekintetében a sem a Refinitiv, sem a Bloomberg esetében nem található szignifikáns kapcsolat az adott vállalat székhely szerinti kontinense és az aggregált ESG pontszáma között. Ráadásul a kapott eredmények a két vizsgált minősítő vonatkozásában ellentmondás</w:t>
      </w:r>
      <w:r w:rsidR="0092319D">
        <w:rPr>
          <w:rFonts w:ascii="Georgia" w:hAnsi="Georgia"/>
          <w:sz w:val="24"/>
          <w:szCs w:val="24"/>
        </w:rPr>
        <w:t>t</w:t>
      </w:r>
      <w:r>
        <w:rPr>
          <w:rFonts w:ascii="Georgia" w:hAnsi="Georgia"/>
          <w:sz w:val="24"/>
          <w:szCs w:val="24"/>
        </w:rPr>
        <w:t xml:space="preserve"> mutatnak. A Refinitiv pontszámai ugyanis</w:t>
      </w:r>
      <w:r w:rsidR="00B22BA9">
        <w:rPr>
          <w:rFonts w:ascii="Georgia" w:hAnsi="Georgia"/>
          <w:sz w:val="24"/>
          <w:szCs w:val="24"/>
        </w:rPr>
        <w:t xml:space="preserve"> 0,1-et el sem érő, pozitív kapcsolatot jeleznek, míg a Bloomberg esetében a korrelációs együttható értéke -0,041, ami lényegében rendkívül gyenge negatív kapcsolatra utal. Így</w:t>
      </w:r>
      <w:r w:rsidR="00E509AB">
        <w:rPr>
          <w:rFonts w:ascii="Georgia" w:hAnsi="Georgia"/>
          <w:sz w:val="24"/>
          <w:szCs w:val="24"/>
        </w:rPr>
        <w:t xml:space="preserve"> </w:t>
      </w:r>
      <w:r w:rsidR="00B22BA9">
        <w:rPr>
          <w:rFonts w:ascii="Georgia" w:hAnsi="Georgia"/>
          <w:sz w:val="24"/>
          <w:szCs w:val="24"/>
        </w:rPr>
        <w:t>H</w:t>
      </w:r>
      <w:r w:rsidR="00B22BA9" w:rsidRPr="00B22BA9">
        <w:rPr>
          <w:rFonts w:ascii="Georgia" w:hAnsi="Georgia"/>
          <w:sz w:val="24"/>
          <w:szCs w:val="24"/>
          <w:vertAlign w:val="subscript"/>
        </w:rPr>
        <w:t>2</w:t>
      </w:r>
      <w:r w:rsidR="00B22BA9">
        <w:rPr>
          <w:rFonts w:ascii="Georgia" w:hAnsi="Georgia"/>
          <w:sz w:val="24"/>
          <w:szCs w:val="24"/>
        </w:rPr>
        <w:t xml:space="preserve"> hipotézist el kell vetni.</w:t>
      </w:r>
    </w:p>
    <w:p w14:paraId="4CB14967" w14:textId="4B3B168C" w:rsidR="00E44F9D" w:rsidRPr="008F6BCD" w:rsidRDefault="00E44F9D" w:rsidP="008F6BCD">
      <w:pPr>
        <w:spacing w:line="360" w:lineRule="auto"/>
        <w:ind w:firstLine="709"/>
        <w:jc w:val="both"/>
        <w:rPr>
          <w:rFonts w:ascii="Georgia" w:hAnsi="Georgia"/>
          <w:sz w:val="24"/>
          <w:szCs w:val="24"/>
        </w:rPr>
      </w:pPr>
      <w:r>
        <w:rPr>
          <w:rFonts w:ascii="Georgia" w:hAnsi="Georgia"/>
          <w:sz w:val="24"/>
          <w:szCs w:val="24"/>
        </w:rPr>
        <w:t xml:space="preserve">Összességében tehát megállapítható, hogy az egyes ESG minősítést végző társaságok által közzétett pontszámok alapján nem lehet megbízhatóan összehasonlítani a vállalatokat fenntarthatósági teljesítményük alapján. A kapcsolatvizsgálat eredményeiből az látszik, hogy az aggregált pontszámok esetében vannak olyan minősítők, melyek értékelései szoros és egyben szignifikáns kapcsolatban állnak egymással. Ez azonban megtévesztő lehet, hiszen az ESG egyes szempontjai mentén lefolytatott korrelációk azt bizonyítják, hogy csupán a környezeti szegmensre vonatkozóan találhatunk erős, szignifikáns kapcsolatot az egyes értékelések között, míg a társadalmi szegmens esetében inkább közepes, a vállalatirányítási szegmens esetében gyenge korreláció jelzi a minősítést végző intézetek értékelési módszertanában rejlő eltéréseket. </w:t>
      </w:r>
      <w:r w:rsidR="00AA641F">
        <w:rPr>
          <w:rFonts w:ascii="Georgia" w:hAnsi="Georgia"/>
          <w:sz w:val="24"/>
          <w:szCs w:val="24"/>
        </w:rPr>
        <w:t xml:space="preserve">A pontszámok összehasonlíthatósága ellen szól még az is, hogy az egyes iparágak </w:t>
      </w:r>
      <w:r w:rsidR="00AA641F">
        <w:rPr>
          <w:rFonts w:ascii="Georgia" w:hAnsi="Georgia"/>
          <w:sz w:val="24"/>
          <w:szCs w:val="24"/>
        </w:rPr>
        <w:lastRenderedPageBreak/>
        <w:t>mentén végzett korrelációs vizsgálat is csupán egy-egy esetben jutott szignifikáns eredményre. Ezekből a megállapításokból tehát arra lehet következtetni, hogy a vizsgált ESG minősítést végző társaságok által közzétett pontszámok nem feltétlen biztosítanak megbízható alapot az esetleges befektetési, vagy finanszírozási döntések meghozatalához. A kutatási eredmények rávilágítanak arra, hogy az ESG pontszámok megbízható összehasonlításához szükség van annak megértésére is, hogy az egyes minősítők milyen értékelési módszertant alkalmaznak. Ennek megfelelően pedig az lenne célravezető, ha a befektetők azoknak a minősítő társaságoknak az értékeléseit részesítenék előnyben, melyek metodológiája a leginkább illeszkedik az adott befektető</w:t>
      </w:r>
      <w:r w:rsidR="004D448A">
        <w:rPr>
          <w:rFonts w:ascii="Georgia" w:hAnsi="Georgia"/>
          <w:sz w:val="24"/>
          <w:szCs w:val="24"/>
        </w:rPr>
        <w:t xml:space="preserve"> elvárásaihoz és</w:t>
      </w:r>
      <w:r w:rsidR="00AA641F">
        <w:rPr>
          <w:rFonts w:ascii="Georgia" w:hAnsi="Georgia"/>
          <w:sz w:val="24"/>
          <w:szCs w:val="24"/>
        </w:rPr>
        <w:t xml:space="preserve"> </w:t>
      </w:r>
      <w:r w:rsidR="004D448A">
        <w:rPr>
          <w:rFonts w:ascii="Georgia" w:hAnsi="Georgia"/>
          <w:sz w:val="24"/>
          <w:szCs w:val="24"/>
        </w:rPr>
        <w:t xml:space="preserve">preferenciáihoz. </w:t>
      </w:r>
    </w:p>
    <w:p w14:paraId="28055CD4" w14:textId="37397526" w:rsidR="002502E8" w:rsidRDefault="002502E8" w:rsidP="001B5E8D">
      <w:pPr>
        <w:pStyle w:val="Cmsor2"/>
        <w:numPr>
          <w:ilvl w:val="1"/>
          <w:numId w:val="1"/>
        </w:numPr>
        <w:spacing w:line="360" w:lineRule="auto"/>
        <w:ind w:left="1134" w:hanging="578"/>
        <w:jc w:val="both"/>
        <w:rPr>
          <w:rFonts w:ascii="Georgia" w:hAnsi="Georgia" w:cs="Times New Roman"/>
          <w:b/>
          <w:bCs/>
          <w:color w:val="auto"/>
          <w:sz w:val="24"/>
          <w:szCs w:val="24"/>
        </w:rPr>
      </w:pPr>
      <w:bookmarkStart w:id="67" w:name="_Toc119421195"/>
      <w:r w:rsidRPr="007E723C">
        <w:rPr>
          <w:rFonts w:ascii="Georgia" w:hAnsi="Georgia" w:cs="Times New Roman"/>
          <w:b/>
          <w:bCs/>
          <w:color w:val="auto"/>
          <w:sz w:val="24"/>
          <w:szCs w:val="24"/>
        </w:rPr>
        <w:t>A kutatás korlátai és a lehetséges jövőbeni irányok</w:t>
      </w:r>
      <w:bookmarkEnd w:id="67"/>
    </w:p>
    <w:p w14:paraId="42BF820F" w14:textId="4B199640" w:rsidR="000D7A12" w:rsidRDefault="001B5E8D" w:rsidP="000D7A12">
      <w:pPr>
        <w:spacing w:after="0" w:line="360" w:lineRule="auto"/>
        <w:ind w:firstLine="709"/>
        <w:jc w:val="both"/>
        <w:rPr>
          <w:rFonts w:ascii="Georgia" w:hAnsi="Georgia"/>
          <w:sz w:val="24"/>
          <w:szCs w:val="24"/>
        </w:rPr>
      </w:pPr>
      <w:r w:rsidRPr="001B5E8D">
        <w:rPr>
          <w:rFonts w:ascii="Georgia" w:hAnsi="Georgia"/>
          <w:sz w:val="24"/>
          <w:szCs w:val="24"/>
        </w:rPr>
        <w:t>A kutatás</w:t>
      </w:r>
      <w:r w:rsidR="00FE54A6">
        <w:rPr>
          <w:rFonts w:ascii="Georgia" w:hAnsi="Georgia"/>
          <w:sz w:val="24"/>
          <w:szCs w:val="24"/>
        </w:rPr>
        <w:t>unk</w:t>
      </w:r>
      <w:r w:rsidRPr="001B5E8D">
        <w:rPr>
          <w:rFonts w:ascii="Georgia" w:hAnsi="Georgia"/>
          <w:sz w:val="24"/>
          <w:szCs w:val="24"/>
        </w:rPr>
        <w:t xml:space="preserve"> során feltárt eredmények kellő ösztönzővel szolgálnak további vizsgálatok elvégzésére. Egyfelől érdemes lehet kiterjeszteni a vizsgálatba bevont minősítők számát, hiszen jelen kutatás jellemzően a Refinitiv és a Bloomberg által közzétett ESG pontszámok megbízhatóságát vizsgálja, csupán az aggregált pontszámok szintjén volt lehetőség további három minősítő, a S&amp;P, a Sustainalytics és az MSCI pontszámainak vizsgálatára. Ez egyben a kutatás egyik jelentős korlátja is, hiszen az egyes minősítőkről elérhető adatok, és a pontszámokhoz való hozzáférhetőség szempont</w:t>
      </w:r>
      <w:r w:rsidR="00E470BA">
        <w:rPr>
          <w:rFonts w:ascii="Georgia" w:hAnsi="Georgia"/>
          <w:sz w:val="24"/>
          <w:szCs w:val="24"/>
        </w:rPr>
        <w:t>já</w:t>
      </w:r>
      <w:r w:rsidRPr="001B5E8D">
        <w:rPr>
          <w:rFonts w:ascii="Georgia" w:hAnsi="Georgia"/>
          <w:sz w:val="24"/>
          <w:szCs w:val="24"/>
        </w:rPr>
        <w:t xml:space="preserve">ból </w:t>
      </w:r>
      <w:r w:rsidR="00E470BA">
        <w:rPr>
          <w:rFonts w:ascii="Georgia" w:hAnsi="Georgia"/>
          <w:sz w:val="24"/>
          <w:szCs w:val="24"/>
        </w:rPr>
        <w:t>jelen kutatás</w:t>
      </w:r>
      <w:r w:rsidRPr="001B5E8D">
        <w:rPr>
          <w:rFonts w:ascii="Georgia" w:hAnsi="Georgia"/>
          <w:sz w:val="24"/>
          <w:szCs w:val="24"/>
        </w:rPr>
        <w:t xml:space="preserve"> </w:t>
      </w:r>
      <w:r w:rsidR="00E470BA">
        <w:rPr>
          <w:rFonts w:ascii="Georgia" w:hAnsi="Georgia"/>
          <w:sz w:val="24"/>
          <w:szCs w:val="24"/>
        </w:rPr>
        <w:t>jelentősen korlátozott</w:t>
      </w:r>
      <w:r w:rsidRPr="001B5E8D">
        <w:rPr>
          <w:rFonts w:ascii="Georgia" w:hAnsi="Georgia"/>
          <w:sz w:val="24"/>
          <w:szCs w:val="24"/>
        </w:rPr>
        <w:t xml:space="preserve"> volt, ez pedig közvetett módon akár a kutatás eredményeire is hatá</w:t>
      </w:r>
      <w:r w:rsidR="00E470BA">
        <w:rPr>
          <w:rFonts w:ascii="Georgia" w:hAnsi="Georgia"/>
          <w:sz w:val="24"/>
          <w:szCs w:val="24"/>
        </w:rPr>
        <w:t>s</w:t>
      </w:r>
      <w:r w:rsidRPr="001B5E8D">
        <w:rPr>
          <w:rFonts w:ascii="Georgia" w:hAnsi="Georgia"/>
          <w:sz w:val="24"/>
          <w:szCs w:val="24"/>
        </w:rPr>
        <w:t>s</w:t>
      </w:r>
      <w:r w:rsidR="00E470BA">
        <w:rPr>
          <w:rFonts w:ascii="Georgia" w:hAnsi="Georgia"/>
          <w:sz w:val="24"/>
          <w:szCs w:val="24"/>
        </w:rPr>
        <w:t>al</w:t>
      </w:r>
      <w:r w:rsidRPr="001B5E8D">
        <w:rPr>
          <w:rFonts w:ascii="Georgia" w:hAnsi="Georgia"/>
          <w:sz w:val="24"/>
          <w:szCs w:val="24"/>
        </w:rPr>
        <w:t xml:space="preserve"> lehet, így a jövőben mindenképp érdemes lehet a vizsgálatot további </w:t>
      </w:r>
      <w:r w:rsidR="00E470BA">
        <w:rPr>
          <w:rFonts w:ascii="Georgia" w:hAnsi="Georgia"/>
          <w:sz w:val="24"/>
          <w:szCs w:val="24"/>
        </w:rPr>
        <w:t xml:space="preserve">ESG minősítést végző társaságokra </w:t>
      </w:r>
      <w:r w:rsidRPr="001B5E8D">
        <w:rPr>
          <w:rFonts w:ascii="Georgia" w:hAnsi="Georgia"/>
          <w:sz w:val="24"/>
          <w:szCs w:val="24"/>
        </w:rPr>
        <w:t xml:space="preserve">is kiterjeszteni. </w:t>
      </w:r>
    </w:p>
    <w:p w14:paraId="324FFAF6" w14:textId="5C0B90D1" w:rsidR="001B5E8D" w:rsidRDefault="001B5E8D" w:rsidP="000D7A12">
      <w:pPr>
        <w:spacing w:after="0" w:line="360" w:lineRule="auto"/>
        <w:ind w:firstLine="709"/>
        <w:jc w:val="both"/>
        <w:rPr>
          <w:rFonts w:ascii="Georgia" w:hAnsi="Georgia"/>
          <w:sz w:val="24"/>
          <w:szCs w:val="24"/>
        </w:rPr>
      </w:pPr>
      <w:r w:rsidRPr="001B5E8D">
        <w:rPr>
          <w:rFonts w:ascii="Georgia" w:hAnsi="Georgia"/>
          <w:sz w:val="24"/>
          <w:szCs w:val="24"/>
        </w:rPr>
        <w:t>Egy további lehetőség a vizsgálatba bevont iparágakban rejlik, ahol érdemes lehet az építőiparban tevékenykedő vállalatok fenntarthatósági eredményeinek megbízhatóságát vizsgálni</w:t>
      </w:r>
      <w:r w:rsidR="00046E1B">
        <w:rPr>
          <w:rFonts w:ascii="Georgia" w:hAnsi="Georgia"/>
          <w:sz w:val="24"/>
          <w:szCs w:val="24"/>
        </w:rPr>
        <w:t>.</w:t>
      </w:r>
      <w:r w:rsidR="00E470BA">
        <w:rPr>
          <w:rFonts w:ascii="Georgia" w:hAnsi="Georgia"/>
          <w:sz w:val="24"/>
          <w:szCs w:val="24"/>
        </w:rPr>
        <w:t xml:space="preserve"> </w:t>
      </w:r>
    </w:p>
    <w:p w14:paraId="2D818A16" w14:textId="57967841" w:rsidR="00E470BA" w:rsidRPr="001B5E8D" w:rsidRDefault="00FE54A6" w:rsidP="001B5E8D">
      <w:pPr>
        <w:spacing w:line="360" w:lineRule="auto"/>
        <w:ind w:firstLine="709"/>
        <w:jc w:val="both"/>
        <w:rPr>
          <w:rFonts w:ascii="Georgia" w:hAnsi="Georgia"/>
          <w:sz w:val="24"/>
          <w:szCs w:val="24"/>
        </w:rPr>
      </w:pPr>
      <w:r>
        <w:rPr>
          <w:rFonts w:ascii="Georgia" w:hAnsi="Georgia"/>
          <w:sz w:val="24"/>
          <w:szCs w:val="24"/>
        </w:rPr>
        <w:t>Tanulmányunk</w:t>
      </w:r>
      <w:r w:rsidR="00E470BA">
        <w:rPr>
          <w:rFonts w:ascii="Georgia" w:hAnsi="Georgia"/>
          <w:sz w:val="24"/>
          <w:szCs w:val="24"/>
        </w:rPr>
        <w:t xml:space="preserve"> szabályozásokról szóló fejezete kiemelte, hogy manapság a legtöbb vállalat a GRI szabványait használja, abból a célból, hogy fenntarthatósági teljesítményéről jelentést készítsen. Így a jövőbeni irány lehet annak vizsgálata is, hogy az egyes minősítők módszertana mennyiben van összhangban a GRI ajánlásaival.</w:t>
      </w:r>
    </w:p>
    <w:p w14:paraId="61B9BA51" w14:textId="5269BC22" w:rsidR="007448B2" w:rsidRPr="007E723C" w:rsidRDefault="007448B2" w:rsidP="00FB5F50">
      <w:pPr>
        <w:pStyle w:val="Listaszerbekezds"/>
        <w:rPr>
          <w:rFonts w:ascii="Georgia" w:eastAsiaTheme="majorEastAsia" w:hAnsi="Georgia" w:cs="Times New Roman"/>
          <w:b/>
          <w:bCs/>
          <w:sz w:val="24"/>
          <w:szCs w:val="24"/>
        </w:rPr>
      </w:pPr>
      <w:r w:rsidRPr="007E723C">
        <w:rPr>
          <w:rFonts w:ascii="Georgia" w:eastAsiaTheme="majorEastAsia" w:hAnsi="Georgia" w:cs="Times New Roman"/>
          <w:b/>
          <w:bCs/>
          <w:sz w:val="24"/>
          <w:szCs w:val="24"/>
        </w:rPr>
        <w:br w:type="page"/>
      </w:r>
    </w:p>
    <w:p w14:paraId="024F311A" w14:textId="71EBA534" w:rsidR="008D3117" w:rsidRDefault="00F80EA2" w:rsidP="008B438F">
      <w:pPr>
        <w:pStyle w:val="Cmsor1"/>
        <w:numPr>
          <w:ilvl w:val="0"/>
          <w:numId w:val="1"/>
        </w:numPr>
        <w:spacing w:after="240" w:line="360" w:lineRule="auto"/>
        <w:ind w:left="431" w:hanging="431"/>
        <w:jc w:val="both"/>
        <w:rPr>
          <w:rFonts w:ascii="Georgia" w:hAnsi="Georgia" w:cs="Times New Roman"/>
          <w:b/>
          <w:bCs/>
          <w:color w:val="auto"/>
          <w:sz w:val="28"/>
          <w:szCs w:val="28"/>
        </w:rPr>
      </w:pPr>
      <w:bookmarkStart w:id="68" w:name="_Toc119421196"/>
      <w:r w:rsidRPr="001B5E8D">
        <w:rPr>
          <w:rFonts w:ascii="Georgia" w:hAnsi="Georgia" w:cs="Times New Roman"/>
          <w:b/>
          <w:bCs/>
          <w:color w:val="auto"/>
          <w:sz w:val="28"/>
          <w:szCs w:val="28"/>
        </w:rPr>
        <w:lastRenderedPageBreak/>
        <w:t>ÖSSZEGZÉS</w:t>
      </w:r>
      <w:bookmarkEnd w:id="68"/>
    </w:p>
    <w:p w14:paraId="782D9EF1" w14:textId="1FB9A743" w:rsidR="000D7A12" w:rsidRDefault="000D7A12" w:rsidP="000D7A12">
      <w:pPr>
        <w:spacing w:line="360" w:lineRule="auto"/>
        <w:ind w:firstLine="431"/>
        <w:jc w:val="both"/>
        <w:rPr>
          <w:rFonts w:ascii="Georgia" w:hAnsi="Georgia"/>
          <w:sz w:val="24"/>
          <w:szCs w:val="24"/>
        </w:rPr>
      </w:pPr>
      <w:r w:rsidRPr="000D7A12">
        <w:rPr>
          <w:rFonts w:ascii="Georgia" w:hAnsi="Georgia"/>
          <w:sz w:val="24"/>
          <w:szCs w:val="24"/>
        </w:rPr>
        <w:t>A nemzetközi szakirodalom a</w:t>
      </w:r>
      <w:r>
        <w:rPr>
          <w:rFonts w:ascii="Georgia" w:hAnsi="Georgia"/>
          <w:sz w:val="24"/>
          <w:szCs w:val="24"/>
        </w:rPr>
        <w:t>z ESG-vel kapcsolatos közzétételekkel foglalkozó publikációkat a számvitel területén végzett kutatások</w:t>
      </w:r>
      <w:r w:rsidRPr="000D7A12">
        <w:rPr>
          <w:rFonts w:ascii="Georgia" w:hAnsi="Georgia"/>
          <w:sz w:val="24"/>
          <w:szCs w:val="24"/>
        </w:rPr>
        <w:t xml:space="preserve"> egyik </w:t>
      </w:r>
      <w:r>
        <w:rPr>
          <w:rFonts w:ascii="Georgia" w:hAnsi="Georgia"/>
          <w:sz w:val="24"/>
          <w:szCs w:val="24"/>
        </w:rPr>
        <w:t>legaktuálisabb és nagy jelentőséggel bíró</w:t>
      </w:r>
      <w:r w:rsidRPr="000D7A12">
        <w:rPr>
          <w:rFonts w:ascii="Georgia" w:hAnsi="Georgia"/>
          <w:sz w:val="24"/>
          <w:szCs w:val="24"/>
        </w:rPr>
        <w:t xml:space="preserve"> területeként tartja számon. Ennek ellenére magyar vonatkozásban ez a kutatási terület </w:t>
      </w:r>
      <w:r>
        <w:rPr>
          <w:rFonts w:ascii="Georgia" w:hAnsi="Georgia"/>
          <w:sz w:val="24"/>
          <w:szCs w:val="24"/>
        </w:rPr>
        <w:t xml:space="preserve">még </w:t>
      </w:r>
      <w:r w:rsidRPr="000D7A12">
        <w:rPr>
          <w:rFonts w:ascii="Georgia" w:hAnsi="Georgia"/>
          <w:sz w:val="24"/>
          <w:szCs w:val="24"/>
        </w:rPr>
        <w:t>lényeges hiányoságokkal küzd. Dolgozatommal ezt az űrt kívántam betölteni, hiszen</w:t>
      </w:r>
      <w:r w:rsidR="00926910">
        <w:rPr>
          <w:rFonts w:ascii="Georgia" w:hAnsi="Georgia"/>
          <w:sz w:val="24"/>
          <w:szCs w:val="24"/>
        </w:rPr>
        <w:t xml:space="preserve"> az ESG minősítések megbízhatóságának és összehasonlíthatóságának kérdése nagy mértékben érintheti a befektetői oldal szereplőt, akik egy-egy befektetési vagy finanszírozási döntés kapcsán az ESG minősítéseket is figyelembe veszik. </w:t>
      </w:r>
    </w:p>
    <w:p w14:paraId="30527AF3" w14:textId="396BAFD0" w:rsidR="00926910" w:rsidRDefault="00926910" w:rsidP="000D7A12">
      <w:pPr>
        <w:spacing w:line="360" w:lineRule="auto"/>
        <w:ind w:firstLine="431"/>
        <w:jc w:val="both"/>
        <w:rPr>
          <w:rFonts w:ascii="Georgia" w:hAnsi="Georgia"/>
          <w:sz w:val="24"/>
          <w:szCs w:val="24"/>
        </w:rPr>
      </w:pPr>
      <w:r>
        <w:rPr>
          <w:rFonts w:ascii="Georgia" w:hAnsi="Georgia"/>
          <w:sz w:val="24"/>
          <w:szCs w:val="24"/>
        </w:rPr>
        <w:t>Éppen ezért kutatás</w:t>
      </w:r>
      <w:r w:rsidR="00FE54A6">
        <w:rPr>
          <w:rFonts w:ascii="Georgia" w:hAnsi="Georgia"/>
          <w:sz w:val="24"/>
          <w:szCs w:val="24"/>
        </w:rPr>
        <w:t>unk</w:t>
      </w:r>
      <w:r>
        <w:rPr>
          <w:rFonts w:ascii="Georgia" w:hAnsi="Georgia"/>
          <w:sz w:val="24"/>
          <w:szCs w:val="24"/>
        </w:rPr>
        <w:t xml:space="preserve"> során arra kerest</w:t>
      </w:r>
      <w:r w:rsidR="00FE54A6">
        <w:rPr>
          <w:rFonts w:ascii="Georgia" w:hAnsi="Georgia"/>
          <w:sz w:val="24"/>
          <w:szCs w:val="24"/>
        </w:rPr>
        <w:t>ük</w:t>
      </w:r>
      <w:r>
        <w:rPr>
          <w:rFonts w:ascii="Georgia" w:hAnsi="Georgia"/>
          <w:sz w:val="24"/>
          <w:szCs w:val="24"/>
        </w:rPr>
        <w:t xml:space="preserve"> a választ, hogy az egyes ESG minősítést végző társaságok által közzétett pontszámok mennyiben tekinthetők megbízhatónak, és mennyiben biztosítanak megbízható alapot egy üzleti döntés meghozatala során. A nemzetközi szakirodalomban számos kutatás kísérletet tett arra, hogy rávilágítson az ESG közzétételek hiányosságaira, problémáira</w:t>
      </w:r>
      <w:r w:rsidR="00A101C1">
        <w:rPr>
          <w:rFonts w:ascii="Georgia" w:hAnsi="Georgia"/>
          <w:sz w:val="24"/>
          <w:szCs w:val="24"/>
        </w:rPr>
        <w:t xml:space="preserve">, így egy kvalitatív tartalomelemzés keretében feltártam a minősítők módszertanának sajátosságait. A kapott eredmények pedig arra ösztönöztek, hogy a minősítők által közzétett ESG pontszámok megbízhatóságát számszerűen is megvizsgáljam. Ehhez előzetes 8 iparágat választottam ki, melyben tevékenykedő vállalatokból véletlen mintét képeztem. Majd ezt a mintát korrelációs vizsgálatoknak vetettem alá. </w:t>
      </w:r>
    </w:p>
    <w:p w14:paraId="53566182" w14:textId="0B56B415" w:rsidR="00AC07AA" w:rsidRDefault="00AC07AA" w:rsidP="000D7A12">
      <w:pPr>
        <w:spacing w:line="360" w:lineRule="auto"/>
        <w:ind w:firstLine="431"/>
        <w:jc w:val="both"/>
        <w:rPr>
          <w:rFonts w:ascii="Georgia" w:hAnsi="Georgia"/>
          <w:sz w:val="24"/>
          <w:szCs w:val="24"/>
        </w:rPr>
      </w:pPr>
      <w:r>
        <w:rPr>
          <w:rFonts w:ascii="Georgia" w:hAnsi="Georgia"/>
          <w:sz w:val="24"/>
          <w:szCs w:val="24"/>
        </w:rPr>
        <w:t xml:space="preserve">Az eredményekből az látszik, hogy bár vannak minősítők, melyek pontszámai egyezőséget mutatnak, azonban ez megtévesztő lehet, hiszen az ESG egyes dimenziói mentén végzett vizsgálatok csupán a vállalatok környezeti pontszámai esetében mutattak azonosságot. Így kijelenthető, hogy a minősítők által közzétett pontszámok nem megbízhatóak, és nem alkalmasak arra, hogy ez alapján a vállalatok fenntarthatósági teljesítményét összehasonlítsuk. Ezt tovább erősíti, hogy iparáganként is az látszik, hogy csupán egy-egy iparág esetében beszélhetünk a különböző minősítőktől származó pontszámok hasonlóságáról. Ebből pedig arra lehet következtetni, hogy iparági szinten sem lehet a vállalatokat ESG pontszámuk alapján megbízhatóan megkülönböztetni. </w:t>
      </w:r>
    </w:p>
    <w:p w14:paraId="1F13C04B" w14:textId="0524C417" w:rsidR="00A101C1" w:rsidRDefault="00AC07AA" w:rsidP="000D7A12">
      <w:pPr>
        <w:spacing w:line="360" w:lineRule="auto"/>
        <w:ind w:firstLine="431"/>
        <w:jc w:val="both"/>
        <w:rPr>
          <w:rFonts w:ascii="Georgia" w:hAnsi="Georgia"/>
          <w:sz w:val="24"/>
          <w:szCs w:val="24"/>
        </w:rPr>
      </w:pPr>
      <w:r w:rsidRPr="00AC07AA">
        <w:rPr>
          <w:rFonts w:ascii="Georgia" w:hAnsi="Georgia"/>
          <w:sz w:val="24"/>
          <w:szCs w:val="24"/>
        </w:rPr>
        <w:t xml:space="preserve">Összegezve a leírtakat jól látszik, hogy az ESG teljesítménnyel kapcsolatos információk sok bizonytalanságot hordoznak magukban, így nem lehet vakon </w:t>
      </w:r>
      <w:r w:rsidRPr="00AC07AA">
        <w:rPr>
          <w:rFonts w:ascii="Georgia" w:hAnsi="Georgia"/>
          <w:sz w:val="24"/>
          <w:szCs w:val="24"/>
        </w:rPr>
        <w:lastRenderedPageBreak/>
        <w:t xml:space="preserve">megbízni az egyes minősítő cégek által kikalkulált pontszámokban. Az átláthatóság hiánya és az minősítések lehetséges problémái ellenére azonban az összesített ESG-pontszámok és azok felhasználása a befektetői döntésekhez egyre inkább bevett gyakorlattá vált az üzleti életben, hiszen ezek az adatok lehetővé teszik a felhasználóik számára, hogy egyszerűen és gyorsan értékeljék az adott vállalat fenntarthatósági teljesítményét. </w:t>
      </w:r>
      <w:r w:rsidR="009C011C">
        <w:rPr>
          <w:rFonts w:ascii="Georgia" w:hAnsi="Georgia"/>
          <w:sz w:val="24"/>
          <w:szCs w:val="24"/>
        </w:rPr>
        <w:t xml:space="preserve">Jelen kutatás azonban kimondottan felhívja a figyelmet arra, hogy az egyes ESG minősítés végző társaságok pontszámai inkonzisztenciát mutatnak. Így az összehasonlíthatóság érdekében feltétlen szükség van arra, hogy a minősítők módszertanát részletekbe menően megértsük. Így az lenne a célravezető, ha a befektetők is azon minősítők pontszámait részesítenék előnyben, melyek módszertana, a figyelembe vett szempontok és azok súlyozása a leginkább illeszkedik az adott befektető elvárásaihoz és preferenciáihoz. </w:t>
      </w:r>
    </w:p>
    <w:p w14:paraId="6E8349CB" w14:textId="20B98978" w:rsidR="009C011C" w:rsidRPr="000D7A12" w:rsidRDefault="009C011C" w:rsidP="000D7A12">
      <w:pPr>
        <w:spacing w:line="360" w:lineRule="auto"/>
        <w:ind w:firstLine="431"/>
        <w:jc w:val="both"/>
        <w:rPr>
          <w:rFonts w:ascii="Georgia" w:hAnsi="Georgia"/>
          <w:sz w:val="24"/>
          <w:szCs w:val="24"/>
        </w:rPr>
      </w:pPr>
      <w:r>
        <w:rPr>
          <w:rFonts w:ascii="Georgia" w:hAnsi="Georgia"/>
          <w:sz w:val="24"/>
          <w:szCs w:val="24"/>
        </w:rPr>
        <w:t xml:space="preserve">A szabályozói oldalon megfigyelhető tendenciák, és a CSRD, mint új irányelv elterjedése valamelyest pozitív változást hozhat az ESG minősítések megbízhatóságát illetően. Azáltal, hogy a vállalatok fenntarthatósági teljesítményéről szóló közzétételekre </w:t>
      </w:r>
      <w:r w:rsidR="008B438F">
        <w:rPr>
          <w:rFonts w:ascii="Georgia" w:hAnsi="Georgia"/>
          <w:sz w:val="24"/>
          <w:szCs w:val="24"/>
        </w:rPr>
        <w:t>szigorúbb szabályok</w:t>
      </w:r>
      <w:r>
        <w:rPr>
          <w:rFonts w:ascii="Georgia" w:hAnsi="Georgia"/>
          <w:sz w:val="24"/>
          <w:szCs w:val="24"/>
        </w:rPr>
        <w:t xml:space="preserve"> és kötelező tanúsítás lesz érvényben, </w:t>
      </w:r>
      <w:r w:rsidR="008B438F">
        <w:rPr>
          <w:rFonts w:ascii="Georgia" w:hAnsi="Georgia"/>
          <w:sz w:val="24"/>
          <w:szCs w:val="24"/>
        </w:rPr>
        <w:t xml:space="preserve">a közzétett információk minősége és megbízhatósága is jelentős javulhat. A kérdés csupán az, hogy ez az átállás valóban kiváltja-e a hozzá fűzött reményeket és a vállalatok valóban fenntarthatóan fognak működni, vagy továbbra is a zöldrefestés fog dominálni. </w:t>
      </w:r>
    </w:p>
    <w:p w14:paraId="42C9EE77" w14:textId="6866969E" w:rsidR="00A65146" w:rsidRPr="007E723C" w:rsidRDefault="008D3117" w:rsidP="008D3117">
      <w:pPr>
        <w:rPr>
          <w:rFonts w:ascii="Georgia" w:eastAsiaTheme="majorEastAsia" w:hAnsi="Georgia" w:cs="Times New Roman"/>
          <w:b/>
          <w:bCs/>
          <w:sz w:val="24"/>
          <w:szCs w:val="24"/>
        </w:rPr>
      </w:pPr>
      <w:r w:rsidRPr="007E723C">
        <w:rPr>
          <w:rFonts w:ascii="Georgia" w:hAnsi="Georgia" w:cs="Times New Roman"/>
          <w:b/>
          <w:bCs/>
          <w:sz w:val="24"/>
          <w:szCs w:val="24"/>
        </w:rPr>
        <w:br w:type="page"/>
      </w:r>
    </w:p>
    <w:p w14:paraId="1C09BE54" w14:textId="140DD3C3" w:rsidR="00E73159" w:rsidRPr="001B5E8D" w:rsidRDefault="00F80EA2" w:rsidP="001B5E8D">
      <w:pPr>
        <w:pStyle w:val="Cmsor1"/>
        <w:numPr>
          <w:ilvl w:val="0"/>
          <w:numId w:val="1"/>
        </w:numPr>
        <w:spacing w:after="240" w:line="360" w:lineRule="auto"/>
        <w:ind w:left="431" w:hanging="431"/>
        <w:jc w:val="both"/>
        <w:rPr>
          <w:rFonts w:ascii="Georgia" w:hAnsi="Georgia" w:cs="Times New Roman"/>
          <w:b/>
          <w:bCs/>
          <w:color w:val="auto"/>
          <w:sz w:val="28"/>
          <w:szCs w:val="28"/>
        </w:rPr>
      </w:pPr>
      <w:bookmarkStart w:id="69" w:name="_Toc119421197"/>
      <w:r w:rsidRPr="001B5E8D">
        <w:rPr>
          <w:rFonts w:ascii="Georgia" w:hAnsi="Georgia" w:cs="Times New Roman"/>
          <w:b/>
          <w:bCs/>
          <w:color w:val="auto"/>
          <w:sz w:val="28"/>
          <w:szCs w:val="28"/>
        </w:rPr>
        <w:lastRenderedPageBreak/>
        <w:t>IRODALOMJEGYZÉK</w:t>
      </w:r>
      <w:bookmarkEnd w:id="69"/>
    </w:p>
    <w:p w14:paraId="353C316B" w14:textId="77777777" w:rsidR="00271D25" w:rsidRDefault="008D3117" w:rsidP="00271D25">
      <w:pPr>
        <w:pStyle w:val="Irodalomjegyzk"/>
        <w:rPr>
          <w:rFonts w:ascii="Times New Roman" w:hAnsi="Times New Roman" w:cs="Times New Roman"/>
          <w:sz w:val="24"/>
          <w:szCs w:val="24"/>
        </w:rPr>
      </w:pPr>
      <w:r w:rsidRPr="007E723C">
        <w:fldChar w:fldCharType="begin"/>
      </w:r>
      <w:r w:rsidR="00271D25">
        <w:instrText xml:space="preserve"> ADDIN ZOTERO_BIBL {"uncited":[],"omitted":[],"custom":[]} CSL_BIBLIOGRAPHY </w:instrText>
      </w:r>
      <w:r w:rsidRPr="007E723C">
        <w:fldChar w:fldCharType="separate"/>
      </w:r>
      <w:r w:rsidR="00271D25">
        <w:rPr>
          <w:rFonts w:ascii="Times New Roman" w:hAnsi="Times New Roman" w:cs="Times New Roman"/>
          <w:sz w:val="24"/>
          <w:szCs w:val="24"/>
        </w:rPr>
        <w:t>2000. Évi C. törvény a számvitelről.</w:t>
      </w:r>
    </w:p>
    <w:p w14:paraId="6140A1FF"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Amel-Zadeh, A., &amp; Serafeim, G. (2018). Why and how investors use ESG information: Evidence from a global survey. </w:t>
      </w:r>
      <w:r>
        <w:rPr>
          <w:rFonts w:ascii="Times New Roman" w:hAnsi="Times New Roman" w:cs="Times New Roman"/>
          <w:i/>
          <w:iCs/>
          <w:sz w:val="24"/>
          <w:szCs w:val="24"/>
        </w:rPr>
        <w:t>Financial Analysts Journal</w:t>
      </w:r>
      <w:r>
        <w:rPr>
          <w:rFonts w:ascii="Times New Roman" w:hAnsi="Times New Roman" w:cs="Times New Roman"/>
          <w:sz w:val="24"/>
          <w:szCs w:val="24"/>
        </w:rPr>
        <w:t xml:space="preserve">, </w:t>
      </w:r>
      <w:r>
        <w:rPr>
          <w:rFonts w:ascii="Times New Roman" w:hAnsi="Times New Roman" w:cs="Times New Roman"/>
          <w:i/>
          <w:iCs/>
          <w:sz w:val="24"/>
          <w:szCs w:val="24"/>
        </w:rPr>
        <w:t>74</w:t>
      </w:r>
      <w:r>
        <w:rPr>
          <w:rFonts w:ascii="Times New Roman" w:hAnsi="Times New Roman" w:cs="Times New Roman"/>
          <w:sz w:val="24"/>
          <w:szCs w:val="24"/>
        </w:rPr>
        <w:t>(3), 87–103.</w:t>
      </w:r>
    </w:p>
    <w:p w14:paraId="0793A27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Aras, G., &amp; Crowther, D. (2008). Evaluating sustainability: A need for standards. </w:t>
      </w:r>
      <w:r>
        <w:rPr>
          <w:rFonts w:ascii="Times New Roman" w:hAnsi="Times New Roman" w:cs="Times New Roman"/>
          <w:i/>
          <w:iCs/>
          <w:sz w:val="24"/>
          <w:szCs w:val="24"/>
        </w:rPr>
        <w:t>Issues in Social and Environmental Accounting</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(1), 19–35.</w:t>
      </w:r>
    </w:p>
    <w:p w14:paraId="45CC2EC8"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Berg, F., Kölbel, J. F., &amp; Rigobr n, R. (2019). Aggregate Confusion: The Divergence of ESG Ratings. </w:t>
      </w:r>
      <w:r>
        <w:rPr>
          <w:rFonts w:ascii="Times New Roman" w:hAnsi="Times New Roman" w:cs="Times New Roman"/>
          <w:i/>
          <w:iCs/>
          <w:sz w:val="24"/>
          <w:szCs w:val="24"/>
        </w:rPr>
        <w:t>Corporate Governance &amp; Finance eJournal</w:t>
      </w:r>
      <w:r>
        <w:rPr>
          <w:rFonts w:ascii="Times New Roman" w:hAnsi="Times New Roman" w:cs="Times New Roman"/>
          <w:sz w:val="24"/>
          <w:szCs w:val="24"/>
        </w:rPr>
        <w:t>.</w:t>
      </w:r>
    </w:p>
    <w:p w14:paraId="452B850C"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Billio, M., Costola, M., Hristova, I., Latino, C., &amp; Pelizzon, L. (2021). Inside the ESG ratings: (Dis)agreement and performance. </w:t>
      </w:r>
      <w:r>
        <w:rPr>
          <w:rFonts w:ascii="Times New Roman" w:hAnsi="Times New Roman" w:cs="Times New Roman"/>
          <w:i/>
          <w:iCs/>
          <w:sz w:val="24"/>
          <w:szCs w:val="24"/>
        </w:rPr>
        <w:t>Corporate Social Responsibility and Environmental Management</w:t>
      </w:r>
      <w:r>
        <w:rPr>
          <w:rFonts w:ascii="Times New Roman" w:hAnsi="Times New Roman" w:cs="Times New Roman"/>
          <w:sz w:val="24"/>
          <w:szCs w:val="24"/>
        </w:rPr>
        <w:t xml:space="preserve">, </w:t>
      </w:r>
      <w:r>
        <w:rPr>
          <w:rFonts w:ascii="Times New Roman" w:hAnsi="Times New Roman" w:cs="Times New Roman"/>
          <w:i/>
          <w:iCs/>
          <w:sz w:val="24"/>
          <w:szCs w:val="24"/>
        </w:rPr>
        <w:t>28</w:t>
      </w:r>
      <w:r>
        <w:rPr>
          <w:rFonts w:ascii="Times New Roman" w:hAnsi="Times New Roman" w:cs="Times New Roman"/>
          <w:sz w:val="24"/>
          <w:szCs w:val="24"/>
        </w:rPr>
        <w:t>(5), 1426–1445. https://doi.org/10.1002/csr.2177</w:t>
      </w:r>
    </w:p>
    <w:p w14:paraId="319C07C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Boros, A., Lentner, C., &amp; Nagy, V. (2022). A fenntarthatóság új szempontjai: A nem pénzügyi jelentések európai gyakorlatának elemzése. </w:t>
      </w:r>
      <w:r>
        <w:rPr>
          <w:rFonts w:ascii="Times New Roman" w:hAnsi="Times New Roman" w:cs="Times New Roman"/>
          <w:i/>
          <w:iCs/>
          <w:sz w:val="24"/>
          <w:szCs w:val="24"/>
        </w:rPr>
        <w:t>PÉNZÜGYI SZEMLE/PUBLIC FINANCE QUARTERLY</w:t>
      </w:r>
      <w:r>
        <w:rPr>
          <w:rFonts w:ascii="Times New Roman" w:hAnsi="Times New Roman" w:cs="Times New Roman"/>
          <w:sz w:val="24"/>
          <w:szCs w:val="24"/>
        </w:rPr>
        <w:t xml:space="preserve">, </w:t>
      </w:r>
      <w:r>
        <w:rPr>
          <w:rFonts w:ascii="Times New Roman" w:hAnsi="Times New Roman" w:cs="Times New Roman"/>
          <w:i/>
          <w:iCs/>
          <w:sz w:val="24"/>
          <w:szCs w:val="24"/>
        </w:rPr>
        <w:t>67</w:t>
      </w:r>
      <w:r>
        <w:rPr>
          <w:rFonts w:ascii="Times New Roman" w:hAnsi="Times New Roman" w:cs="Times New Roman"/>
          <w:sz w:val="24"/>
          <w:szCs w:val="24"/>
        </w:rPr>
        <w:t>(2), 186–200.</w:t>
      </w:r>
    </w:p>
    <w:p w14:paraId="49E2749E"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Bowen, H. R. (1953). </w:t>
      </w:r>
      <w:r>
        <w:rPr>
          <w:rFonts w:ascii="Times New Roman" w:hAnsi="Times New Roman" w:cs="Times New Roman"/>
          <w:i/>
          <w:iCs/>
          <w:sz w:val="24"/>
          <w:szCs w:val="24"/>
        </w:rPr>
        <w:t>Social Responsibilities of the Businessman</w:t>
      </w:r>
      <w:r>
        <w:rPr>
          <w:rFonts w:ascii="Times New Roman" w:hAnsi="Times New Roman" w:cs="Times New Roman"/>
          <w:sz w:val="24"/>
          <w:szCs w:val="24"/>
        </w:rPr>
        <w:t>. University of Iowa Press.</w:t>
      </w:r>
    </w:p>
    <w:p w14:paraId="0FA0B4C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Buallay, A. (2018). Is sustainability reporting (ESG) associated with performance? Evidence from the European banking sector. </w:t>
      </w:r>
      <w:r>
        <w:rPr>
          <w:rFonts w:ascii="Times New Roman" w:hAnsi="Times New Roman" w:cs="Times New Roman"/>
          <w:i/>
          <w:iCs/>
          <w:sz w:val="24"/>
          <w:szCs w:val="24"/>
        </w:rPr>
        <w:t>Management of Environmental Quality: An International Journal</w:t>
      </w:r>
      <w:r>
        <w:rPr>
          <w:rFonts w:ascii="Times New Roman" w:hAnsi="Times New Roman" w:cs="Times New Roman"/>
          <w:sz w:val="24"/>
          <w:szCs w:val="24"/>
        </w:rPr>
        <w:t xml:space="preserve">, </w:t>
      </w:r>
      <w:r>
        <w:rPr>
          <w:rFonts w:ascii="Times New Roman" w:hAnsi="Times New Roman" w:cs="Times New Roman"/>
          <w:i/>
          <w:iCs/>
          <w:sz w:val="24"/>
          <w:szCs w:val="24"/>
        </w:rPr>
        <w:t>30</w:t>
      </w:r>
      <w:r>
        <w:rPr>
          <w:rFonts w:ascii="Times New Roman" w:hAnsi="Times New Roman" w:cs="Times New Roman"/>
          <w:sz w:val="24"/>
          <w:szCs w:val="24"/>
        </w:rPr>
        <w:t>(1), 98–115. https://doi.org/10.1108/MEQ-12-2017-0149</w:t>
      </w:r>
    </w:p>
    <w:p w14:paraId="23432469"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Capizzi, V., Gioia, E., Giudici, G., &amp; Tenca, F. (2021). The divergence of ESG ratings: An analysis of Italian listed companies. </w:t>
      </w:r>
      <w:r>
        <w:rPr>
          <w:rFonts w:ascii="Times New Roman" w:hAnsi="Times New Roman" w:cs="Times New Roman"/>
          <w:i/>
          <w:iCs/>
          <w:sz w:val="24"/>
          <w:szCs w:val="24"/>
        </w:rPr>
        <w:t>Journal of Financial Management, Markets and Institutions</w:t>
      </w:r>
      <w:r>
        <w:rPr>
          <w:rFonts w:ascii="Times New Roman" w:hAnsi="Times New Roman" w:cs="Times New Roman"/>
          <w:sz w:val="24"/>
          <w:szCs w:val="24"/>
        </w:rPr>
        <w:t xml:space="preserve">, </w:t>
      </w:r>
      <w:r>
        <w:rPr>
          <w:rFonts w:ascii="Times New Roman" w:hAnsi="Times New Roman" w:cs="Times New Roman"/>
          <w:i/>
          <w:iCs/>
          <w:sz w:val="24"/>
          <w:szCs w:val="24"/>
        </w:rPr>
        <w:t>09</w:t>
      </w:r>
      <w:r>
        <w:rPr>
          <w:rFonts w:ascii="Times New Roman" w:hAnsi="Times New Roman" w:cs="Times New Roman"/>
          <w:sz w:val="24"/>
          <w:szCs w:val="24"/>
        </w:rPr>
        <w:t>(02), 2150006. https://doi.org/10.1142/S2282717X21500067</w:t>
      </w:r>
    </w:p>
    <w:p w14:paraId="61D890E1"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Caplan, L., Griswold, J. S., &amp; Jarvis, W. F. (2013). From SRI to ESG: The Changing World of Responsible Investing. In </w:t>
      </w:r>
      <w:r>
        <w:rPr>
          <w:rFonts w:ascii="Times New Roman" w:hAnsi="Times New Roman" w:cs="Times New Roman"/>
          <w:i/>
          <w:iCs/>
          <w:sz w:val="24"/>
          <w:szCs w:val="24"/>
        </w:rPr>
        <w:t>Commonfund Institute</w:t>
      </w:r>
      <w:r>
        <w:rPr>
          <w:rFonts w:ascii="Times New Roman" w:hAnsi="Times New Roman" w:cs="Times New Roman"/>
          <w:sz w:val="24"/>
          <w:szCs w:val="24"/>
        </w:rPr>
        <w:t>. Commonfund Institute. https://eric.ed.gov/?id=ED559300</w:t>
      </w:r>
    </w:p>
    <w:p w14:paraId="4C3B058B"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Carroll, A. B. (1991). The pyramid of corporate social responsibility: Toward the moral management of organizational stakeholders. </w:t>
      </w:r>
      <w:r>
        <w:rPr>
          <w:rFonts w:ascii="Times New Roman" w:hAnsi="Times New Roman" w:cs="Times New Roman"/>
          <w:i/>
          <w:iCs/>
          <w:sz w:val="24"/>
          <w:szCs w:val="24"/>
        </w:rPr>
        <w:t>Business horizons</w:t>
      </w:r>
      <w:r>
        <w:rPr>
          <w:rFonts w:ascii="Times New Roman" w:hAnsi="Times New Roman" w:cs="Times New Roman"/>
          <w:sz w:val="24"/>
          <w:szCs w:val="24"/>
        </w:rPr>
        <w:t xml:space="preserve">, </w:t>
      </w:r>
      <w:r>
        <w:rPr>
          <w:rFonts w:ascii="Times New Roman" w:hAnsi="Times New Roman" w:cs="Times New Roman"/>
          <w:i/>
          <w:iCs/>
          <w:sz w:val="24"/>
          <w:szCs w:val="24"/>
        </w:rPr>
        <w:t>34</w:t>
      </w:r>
      <w:r>
        <w:rPr>
          <w:rFonts w:ascii="Times New Roman" w:hAnsi="Times New Roman" w:cs="Times New Roman"/>
          <w:sz w:val="24"/>
          <w:szCs w:val="24"/>
        </w:rPr>
        <w:t>(4), 39–48.</w:t>
      </w:r>
    </w:p>
    <w:p w14:paraId="0F507E5D"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Chatterji, A., Durand, R., Levine, D., &amp; Touboul, S. (2015). Do ratings of firms converge? Implications for managers, Investors and strategy researchers. </w:t>
      </w:r>
      <w:r>
        <w:rPr>
          <w:rFonts w:ascii="Times New Roman" w:hAnsi="Times New Roman" w:cs="Times New Roman"/>
          <w:i/>
          <w:iCs/>
          <w:sz w:val="24"/>
          <w:szCs w:val="24"/>
        </w:rPr>
        <w:t>Strategic Management Journal</w:t>
      </w:r>
      <w:r>
        <w:rPr>
          <w:rFonts w:ascii="Times New Roman" w:hAnsi="Times New Roman" w:cs="Times New Roman"/>
          <w:sz w:val="24"/>
          <w:szCs w:val="24"/>
        </w:rPr>
        <w:t xml:space="preserve">, </w:t>
      </w:r>
      <w:r>
        <w:rPr>
          <w:rFonts w:ascii="Times New Roman" w:hAnsi="Times New Roman" w:cs="Times New Roman"/>
          <w:i/>
          <w:iCs/>
          <w:sz w:val="24"/>
          <w:szCs w:val="24"/>
        </w:rPr>
        <w:t>37</w:t>
      </w:r>
      <w:r>
        <w:rPr>
          <w:rFonts w:ascii="Times New Roman" w:hAnsi="Times New Roman" w:cs="Times New Roman"/>
          <w:sz w:val="24"/>
          <w:szCs w:val="24"/>
        </w:rPr>
        <w:t>. https://doi.org/10.1002/smj.2407</w:t>
      </w:r>
    </w:p>
    <w:p w14:paraId="1E0C7999"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Chatterji, A. K., &amp; Toffel, M. W. (2010). How firms respond to being rated. </w:t>
      </w:r>
      <w:r>
        <w:rPr>
          <w:rFonts w:ascii="Times New Roman" w:hAnsi="Times New Roman" w:cs="Times New Roman"/>
          <w:i/>
          <w:iCs/>
          <w:sz w:val="24"/>
          <w:szCs w:val="24"/>
        </w:rPr>
        <w:t>Strategic Management Journal</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(9), 917–945.</w:t>
      </w:r>
    </w:p>
    <w:p w14:paraId="5FA1A4D1"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Chatterji, A., &amp; Levine, D. (2006). Breaking down the wall of codes: Evaluating non-financial performance measurement. </w:t>
      </w:r>
      <w:r>
        <w:rPr>
          <w:rFonts w:ascii="Times New Roman" w:hAnsi="Times New Roman" w:cs="Times New Roman"/>
          <w:i/>
          <w:iCs/>
          <w:sz w:val="24"/>
          <w:szCs w:val="24"/>
        </w:rPr>
        <w:t>California Management Review</w:t>
      </w:r>
      <w:r>
        <w:rPr>
          <w:rFonts w:ascii="Times New Roman" w:hAnsi="Times New Roman" w:cs="Times New Roman"/>
          <w:sz w:val="24"/>
          <w:szCs w:val="24"/>
        </w:rPr>
        <w:t xml:space="preserve">, </w:t>
      </w:r>
      <w:r>
        <w:rPr>
          <w:rFonts w:ascii="Times New Roman" w:hAnsi="Times New Roman" w:cs="Times New Roman"/>
          <w:i/>
          <w:iCs/>
          <w:sz w:val="24"/>
          <w:szCs w:val="24"/>
        </w:rPr>
        <w:t>48</w:t>
      </w:r>
      <w:r>
        <w:rPr>
          <w:rFonts w:ascii="Times New Roman" w:hAnsi="Times New Roman" w:cs="Times New Roman"/>
          <w:sz w:val="24"/>
          <w:szCs w:val="24"/>
        </w:rPr>
        <w:t>(2), 29–51.</w:t>
      </w:r>
    </w:p>
    <w:p w14:paraId="573CD5A5"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Chikán, A. (2020). </w:t>
      </w:r>
      <w:r>
        <w:rPr>
          <w:rFonts w:ascii="Times New Roman" w:hAnsi="Times New Roman" w:cs="Times New Roman"/>
          <w:i/>
          <w:iCs/>
          <w:sz w:val="24"/>
          <w:szCs w:val="24"/>
        </w:rPr>
        <w:t>Vállalatgazdaságtan</w:t>
      </w:r>
      <w:r>
        <w:rPr>
          <w:rFonts w:ascii="Times New Roman" w:hAnsi="Times New Roman" w:cs="Times New Roman"/>
          <w:sz w:val="24"/>
          <w:szCs w:val="24"/>
        </w:rPr>
        <w:t>. Akadémiai Kiadó.</w:t>
      </w:r>
    </w:p>
    <w:p w14:paraId="53DCEE1C"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Christensen, D. M., Serafeim, G., &amp; Sikochi, A. (2022). Why is Corporate Virtue in the Eye of The Beholder? The Case of ESG Ratings. </w:t>
      </w:r>
      <w:r>
        <w:rPr>
          <w:rFonts w:ascii="Times New Roman" w:hAnsi="Times New Roman" w:cs="Times New Roman"/>
          <w:i/>
          <w:iCs/>
          <w:sz w:val="24"/>
          <w:szCs w:val="24"/>
        </w:rPr>
        <w:t>ACCOUNTING REVIEW</w:t>
      </w:r>
      <w:r>
        <w:rPr>
          <w:rFonts w:ascii="Times New Roman" w:hAnsi="Times New Roman" w:cs="Times New Roman"/>
          <w:sz w:val="24"/>
          <w:szCs w:val="24"/>
        </w:rPr>
        <w:t xml:space="preserve">, </w:t>
      </w:r>
      <w:r>
        <w:rPr>
          <w:rFonts w:ascii="Times New Roman" w:hAnsi="Times New Roman" w:cs="Times New Roman"/>
          <w:i/>
          <w:iCs/>
          <w:sz w:val="24"/>
          <w:szCs w:val="24"/>
        </w:rPr>
        <w:t>97</w:t>
      </w:r>
      <w:r>
        <w:rPr>
          <w:rFonts w:ascii="Times New Roman" w:hAnsi="Times New Roman" w:cs="Times New Roman"/>
          <w:sz w:val="24"/>
          <w:szCs w:val="24"/>
        </w:rPr>
        <w:t>(1), 147–175. https://doi.org/10.2308/TAR-2019-0506</w:t>
      </w:r>
    </w:p>
    <w:p w14:paraId="5DA799D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Cornell, B., &amp; Damodaran, A. (2020). Valuing ESG: Doing good or sounding good? </w:t>
      </w:r>
      <w:r>
        <w:rPr>
          <w:rFonts w:ascii="Times New Roman" w:hAnsi="Times New Roman" w:cs="Times New Roman"/>
          <w:i/>
          <w:iCs/>
          <w:sz w:val="24"/>
          <w:szCs w:val="24"/>
        </w:rPr>
        <w:t>NYU Stern School of Business</w:t>
      </w:r>
      <w:r>
        <w:rPr>
          <w:rFonts w:ascii="Times New Roman" w:hAnsi="Times New Roman" w:cs="Times New Roman"/>
          <w:sz w:val="24"/>
          <w:szCs w:val="24"/>
        </w:rPr>
        <w:t>.</w:t>
      </w:r>
    </w:p>
    <w:p w14:paraId="01C595A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Delmas, M. A., Etzion, D., &amp; Nairn-Birch, N. (2013). Triangulating environmental performance: What do corporate social responsibility ratings really capture? </w:t>
      </w:r>
      <w:r>
        <w:rPr>
          <w:rFonts w:ascii="Times New Roman" w:hAnsi="Times New Roman" w:cs="Times New Roman"/>
          <w:i/>
          <w:iCs/>
          <w:sz w:val="24"/>
          <w:szCs w:val="24"/>
        </w:rPr>
        <w:t>Academy of Management Perspectives</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(3), 255–267.</w:t>
      </w:r>
    </w:p>
    <w:p w14:paraId="140A6177"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Dimson, E., Marsh, P., &amp; Staunton, M. (2020). Divergent ESG Ratings. </w:t>
      </w:r>
      <w:r>
        <w:rPr>
          <w:rFonts w:ascii="Times New Roman" w:hAnsi="Times New Roman" w:cs="Times New Roman"/>
          <w:i/>
          <w:iCs/>
          <w:sz w:val="24"/>
          <w:szCs w:val="24"/>
        </w:rPr>
        <w:t>JOURNAL OF PORTFOLIO MANAGEMENT</w:t>
      </w:r>
      <w:r>
        <w:rPr>
          <w:rFonts w:ascii="Times New Roman" w:hAnsi="Times New Roman" w:cs="Times New Roman"/>
          <w:sz w:val="24"/>
          <w:szCs w:val="24"/>
        </w:rPr>
        <w:t xml:space="preserve">, </w:t>
      </w:r>
      <w:r>
        <w:rPr>
          <w:rFonts w:ascii="Times New Roman" w:hAnsi="Times New Roman" w:cs="Times New Roman"/>
          <w:i/>
          <w:iCs/>
          <w:sz w:val="24"/>
          <w:szCs w:val="24"/>
        </w:rPr>
        <w:t>47</w:t>
      </w:r>
      <w:r>
        <w:rPr>
          <w:rFonts w:ascii="Times New Roman" w:hAnsi="Times New Roman" w:cs="Times New Roman"/>
          <w:sz w:val="24"/>
          <w:szCs w:val="24"/>
        </w:rPr>
        <w:t>(1), 75–87. https://doi.org/10.3905/jpm.2020.1.175</w:t>
      </w:r>
    </w:p>
    <w:p w14:paraId="6D49BE23"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Dodd, E. M. J. (1932). For Whom are Corporate Managers Trustees. </w:t>
      </w:r>
      <w:r>
        <w:rPr>
          <w:rFonts w:ascii="Times New Roman" w:hAnsi="Times New Roman" w:cs="Times New Roman"/>
          <w:i/>
          <w:iCs/>
          <w:sz w:val="24"/>
          <w:szCs w:val="24"/>
        </w:rPr>
        <w:t>Harvard Law Review</w:t>
      </w:r>
      <w:r>
        <w:rPr>
          <w:rFonts w:ascii="Times New Roman" w:hAnsi="Times New Roman" w:cs="Times New Roman"/>
          <w:sz w:val="24"/>
          <w:szCs w:val="24"/>
        </w:rPr>
        <w:t xml:space="preserve">, </w:t>
      </w:r>
      <w:r>
        <w:rPr>
          <w:rFonts w:ascii="Times New Roman" w:hAnsi="Times New Roman" w:cs="Times New Roman"/>
          <w:i/>
          <w:iCs/>
          <w:sz w:val="24"/>
          <w:szCs w:val="24"/>
        </w:rPr>
        <w:t>45</w:t>
      </w:r>
      <w:r>
        <w:rPr>
          <w:rFonts w:ascii="Times New Roman" w:hAnsi="Times New Roman" w:cs="Times New Roman"/>
          <w:sz w:val="24"/>
          <w:szCs w:val="24"/>
        </w:rPr>
        <w:t>(7), 1145.</w:t>
      </w:r>
    </w:p>
    <w:p w14:paraId="4110467E"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Dorfleitner, G., Halbritter, G., &amp; Nguyen, M. (2015). Measuring the level and risk of corporate responsibility—An empirical comparison of different ESG rating approaches. </w:t>
      </w:r>
      <w:r>
        <w:rPr>
          <w:rFonts w:ascii="Times New Roman" w:hAnsi="Times New Roman" w:cs="Times New Roman"/>
          <w:i/>
          <w:iCs/>
          <w:sz w:val="24"/>
          <w:szCs w:val="24"/>
        </w:rPr>
        <w:t>JOURNAL OF ASSET MANAGEMENT</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(7), 450–466. https://doi.org/10.1057/jam.2015.31</w:t>
      </w:r>
    </w:p>
    <w:p w14:paraId="286D1A5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Douglas, E., Van Holt, T., &amp; Whelan, T. (2017). Responsible investing: Guide to ESG data providers and relevant trends. </w:t>
      </w:r>
      <w:r>
        <w:rPr>
          <w:rFonts w:ascii="Times New Roman" w:hAnsi="Times New Roman" w:cs="Times New Roman"/>
          <w:i/>
          <w:iCs/>
          <w:sz w:val="24"/>
          <w:szCs w:val="24"/>
        </w:rPr>
        <w:t>Journal of Environmental Investing</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(1), 91–114.</w:t>
      </w:r>
    </w:p>
    <w:p w14:paraId="7C97D81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Doyle, T. M. (2018). Ratings that don’t rate: The subjective world of ESG ratings agencies. </w:t>
      </w:r>
      <w:r>
        <w:rPr>
          <w:rFonts w:ascii="Times New Roman" w:hAnsi="Times New Roman" w:cs="Times New Roman"/>
          <w:i/>
          <w:iCs/>
          <w:sz w:val="24"/>
          <w:szCs w:val="24"/>
        </w:rPr>
        <w:t>American Council for Capital Formation</w:t>
      </w:r>
      <w:r>
        <w:rPr>
          <w:rFonts w:ascii="Times New Roman" w:hAnsi="Times New Roman" w:cs="Times New Roman"/>
          <w:sz w:val="24"/>
          <w:szCs w:val="24"/>
        </w:rPr>
        <w:t>. https://corpgov.law.harvard.edu/2018/08/07/ratings-that-dont-rate-the-subjective-world-of-esg-ratings-agencies/</w:t>
      </w:r>
    </w:p>
    <w:p w14:paraId="6849C07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Drempetic, S., Klein, C., &amp; Zwergel, B. (2020). The Influence of Firm Size on the ESG Score: Corporate Sustainability Ratings Under Review. </w:t>
      </w:r>
      <w:r>
        <w:rPr>
          <w:rFonts w:ascii="Times New Roman" w:hAnsi="Times New Roman" w:cs="Times New Roman"/>
          <w:i/>
          <w:iCs/>
          <w:sz w:val="24"/>
          <w:szCs w:val="24"/>
        </w:rPr>
        <w:t>Journal of Business Ethics</w:t>
      </w:r>
      <w:r>
        <w:rPr>
          <w:rFonts w:ascii="Times New Roman" w:hAnsi="Times New Roman" w:cs="Times New Roman"/>
          <w:sz w:val="24"/>
          <w:szCs w:val="24"/>
        </w:rPr>
        <w:t xml:space="preserve">, </w:t>
      </w:r>
      <w:r>
        <w:rPr>
          <w:rFonts w:ascii="Times New Roman" w:hAnsi="Times New Roman" w:cs="Times New Roman"/>
          <w:i/>
          <w:iCs/>
          <w:sz w:val="24"/>
          <w:szCs w:val="24"/>
        </w:rPr>
        <w:t>167</w:t>
      </w:r>
      <w:r>
        <w:rPr>
          <w:rFonts w:ascii="Times New Roman" w:hAnsi="Times New Roman" w:cs="Times New Roman"/>
          <w:sz w:val="24"/>
          <w:szCs w:val="24"/>
        </w:rPr>
        <w:t>. https://doi.org/10.1007/s10551-019-04164-1</w:t>
      </w:r>
    </w:p>
    <w:p w14:paraId="7068CA60"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Eccles, R. G., Krzus, M. P., &amp; Ribot, S. (2015). Models of best practice in integrated reporting 2015. </w:t>
      </w:r>
      <w:r>
        <w:rPr>
          <w:rFonts w:ascii="Times New Roman" w:hAnsi="Times New Roman" w:cs="Times New Roman"/>
          <w:i/>
          <w:iCs/>
          <w:sz w:val="24"/>
          <w:szCs w:val="24"/>
        </w:rPr>
        <w:t>Journal of Applied Corporate Finance</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(2), 103–115.</w:t>
      </w:r>
    </w:p>
    <w:p w14:paraId="7F28B377"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Egels, N. (2005). Sorting out the mess. A review of definitions of ethical issues in business. </w:t>
      </w:r>
      <w:r>
        <w:rPr>
          <w:rFonts w:ascii="Times New Roman" w:hAnsi="Times New Roman" w:cs="Times New Roman"/>
          <w:i/>
          <w:iCs/>
          <w:sz w:val="24"/>
          <w:szCs w:val="24"/>
        </w:rPr>
        <w:t>rapport nr.: GRI reports</w:t>
      </w:r>
      <w:r>
        <w:rPr>
          <w:rFonts w:ascii="Times New Roman" w:hAnsi="Times New Roman" w:cs="Times New Roman"/>
          <w:sz w:val="24"/>
          <w:szCs w:val="24"/>
        </w:rPr>
        <w:t xml:space="preserve">, </w:t>
      </w:r>
      <w:r>
        <w:rPr>
          <w:rFonts w:ascii="Times New Roman" w:hAnsi="Times New Roman" w:cs="Times New Roman"/>
          <w:i/>
          <w:iCs/>
          <w:sz w:val="24"/>
          <w:szCs w:val="24"/>
        </w:rPr>
        <w:t>2005</w:t>
      </w:r>
      <w:r>
        <w:rPr>
          <w:rFonts w:ascii="Times New Roman" w:hAnsi="Times New Roman" w:cs="Times New Roman"/>
          <w:sz w:val="24"/>
          <w:szCs w:val="24"/>
        </w:rPr>
        <w:t>.</w:t>
      </w:r>
    </w:p>
    <w:p w14:paraId="5779E05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European Commission. (2011). </w:t>
      </w:r>
      <w:r>
        <w:rPr>
          <w:rFonts w:ascii="Times New Roman" w:hAnsi="Times New Roman" w:cs="Times New Roman"/>
          <w:i/>
          <w:iCs/>
          <w:sz w:val="24"/>
          <w:szCs w:val="24"/>
        </w:rPr>
        <w:t>A renewed EU strategy 2011- 14 for Corporate Social Responsibility</w:t>
      </w:r>
      <w:r>
        <w:rPr>
          <w:rFonts w:ascii="Times New Roman" w:hAnsi="Times New Roman" w:cs="Times New Roman"/>
          <w:sz w:val="24"/>
          <w:szCs w:val="24"/>
        </w:rPr>
        <w:t>.</w:t>
      </w:r>
    </w:p>
    <w:p w14:paraId="799FD958"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Friedman, M. (1970). A Friedman doctrine: The social responsibility of business is to increase its profits. </w:t>
      </w:r>
      <w:r>
        <w:rPr>
          <w:rFonts w:ascii="Times New Roman" w:hAnsi="Times New Roman" w:cs="Times New Roman"/>
          <w:i/>
          <w:iCs/>
          <w:sz w:val="24"/>
          <w:szCs w:val="24"/>
        </w:rPr>
        <w:t>The New York Times Magazine</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(1970), 32–33.</w:t>
      </w:r>
    </w:p>
    <w:p w14:paraId="0461F537"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FTSE Russell. (2022). </w:t>
      </w:r>
      <w:r>
        <w:rPr>
          <w:rFonts w:ascii="Times New Roman" w:hAnsi="Times New Roman" w:cs="Times New Roman"/>
          <w:i/>
          <w:iCs/>
          <w:sz w:val="24"/>
          <w:szCs w:val="24"/>
        </w:rPr>
        <w:t>About FTSE Russell</w:t>
      </w:r>
      <w:r>
        <w:rPr>
          <w:rFonts w:ascii="Times New Roman" w:hAnsi="Times New Roman" w:cs="Times New Roman"/>
          <w:sz w:val="24"/>
          <w:szCs w:val="24"/>
        </w:rPr>
        <w:t>. https://www.ftserussell.com/about-us</w:t>
      </w:r>
    </w:p>
    <w:p w14:paraId="3D08F65A"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Fülöp G., &amp; Hódi Hernádi B. (2014). A vállalati fenntarthatósági stratégia sikertényezője a fenntarthatósági számvitel. </w:t>
      </w:r>
      <w:r>
        <w:rPr>
          <w:rFonts w:ascii="Times New Roman" w:hAnsi="Times New Roman" w:cs="Times New Roman"/>
          <w:i/>
          <w:iCs/>
          <w:sz w:val="24"/>
          <w:szCs w:val="24"/>
        </w:rPr>
        <w:t>Vezetéstudomány / Budapest Management Review</w:t>
      </w:r>
      <w:r>
        <w:rPr>
          <w:rFonts w:ascii="Times New Roman" w:hAnsi="Times New Roman" w:cs="Times New Roman"/>
          <w:sz w:val="24"/>
          <w:szCs w:val="24"/>
        </w:rPr>
        <w:t>, 2–17. https://doi.org/10.14267/VEZTUD.2014.04.01</w:t>
      </w:r>
    </w:p>
    <w:p w14:paraId="1BDFBD7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GRI. (2021). </w:t>
      </w:r>
      <w:r>
        <w:rPr>
          <w:rFonts w:ascii="Times New Roman" w:hAnsi="Times New Roman" w:cs="Times New Roman"/>
          <w:i/>
          <w:iCs/>
          <w:sz w:val="24"/>
          <w:szCs w:val="24"/>
        </w:rPr>
        <w:t>Sustainability Reporting Standards</w:t>
      </w:r>
      <w:r>
        <w:rPr>
          <w:rFonts w:ascii="Times New Roman" w:hAnsi="Times New Roman" w:cs="Times New Roman"/>
          <w:sz w:val="24"/>
          <w:szCs w:val="24"/>
        </w:rPr>
        <w:t>. Global Reporting Initiative.</w:t>
      </w:r>
    </w:p>
    <w:p w14:paraId="7173CE0D"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GSIA. (2012). </w:t>
      </w:r>
      <w:r>
        <w:rPr>
          <w:rFonts w:ascii="Times New Roman" w:hAnsi="Times New Roman" w:cs="Times New Roman"/>
          <w:i/>
          <w:iCs/>
          <w:sz w:val="24"/>
          <w:szCs w:val="24"/>
        </w:rPr>
        <w:t>Global Sustainable Investment Review</w:t>
      </w:r>
      <w:r>
        <w:rPr>
          <w:rFonts w:ascii="Times New Roman" w:hAnsi="Times New Roman" w:cs="Times New Roman"/>
          <w:sz w:val="24"/>
          <w:szCs w:val="24"/>
        </w:rPr>
        <w:t>. http://gsiareview2012.gsi-alliance.org/pubData/source/Global%20Sustainable%20Investement%20Alliance.pdf</w:t>
      </w:r>
    </w:p>
    <w:p w14:paraId="02B4AA6F"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Gyönyörová, L., Stachoň, M., &amp; Stašek, D. (2021). ESG ratings: Relevant information or misleading clue? Evidence from the S&amp;P Global 1200. </w:t>
      </w:r>
      <w:r>
        <w:rPr>
          <w:rFonts w:ascii="Times New Roman" w:hAnsi="Times New Roman" w:cs="Times New Roman"/>
          <w:i/>
          <w:iCs/>
          <w:sz w:val="24"/>
          <w:szCs w:val="24"/>
        </w:rPr>
        <w:t>Journal of Sustainable Finance and Investment</w:t>
      </w:r>
      <w:r>
        <w:rPr>
          <w:rFonts w:ascii="Times New Roman" w:hAnsi="Times New Roman" w:cs="Times New Roman"/>
          <w:sz w:val="24"/>
          <w:szCs w:val="24"/>
        </w:rPr>
        <w:t>. https://doi.org/10.1080/20430795.2021.1922062</w:t>
      </w:r>
    </w:p>
    <w:p w14:paraId="67FB1267"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Hart, S. L., &amp; Milstein, M. B. (2003). Creating sustainable value. </w:t>
      </w:r>
      <w:r>
        <w:rPr>
          <w:rFonts w:ascii="Times New Roman" w:hAnsi="Times New Roman" w:cs="Times New Roman"/>
          <w:i/>
          <w:iCs/>
          <w:sz w:val="24"/>
          <w:szCs w:val="24"/>
        </w:rPr>
        <w:t>Academy of Management Perspectives</w:t>
      </w:r>
      <w:r>
        <w:rPr>
          <w:rFonts w:ascii="Times New Roman" w:hAnsi="Times New Roman" w:cs="Times New Roman"/>
          <w:sz w:val="24"/>
          <w:szCs w:val="24"/>
        </w:rPr>
        <w:t xml:space="preserve">, </w:t>
      </w:r>
      <w:r>
        <w:rPr>
          <w:rFonts w:ascii="Times New Roman" w:hAnsi="Times New Roman" w:cs="Times New Roman"/>
          <w:i/>
          <w:iCs/>
          <w:sz w:val="24"/>
          <w:szCs w:val="24"/>
        </w:rPr>
        <w:t>17</w:t>
      </w:r>
      <w:r>
        <w:rPr>
          <w:rFonts w:ascii="Times New Roman" w:hAnsi="Times New Roman" w:cs="Times New Roman"/>
          <w:sz w:val="24"/>
          <w:szCs w:val="24"/>
        </w:rPr>
        <w:t>(2), 56–67.</w:t>
      </w:r>
    </w:p>
    <w:p w14:paraId="25FDEE7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Hódi Hernádi, B. (2012). Green accounting for corporate sustainability. </w:t>
      </w:r>
      <w:r>
        <w:rPr>
          <w:rFonts w:ascii="Times New Roman" w:hAnsi="Times New Roman" w:cs="Times New Roman"/>
          <w:i/>
          <w:iCs/>
          <w:sz w:val="24"/>
          <w:szCs w:val="24"/>
        </w:rPr>
        <w:t>Theory, Methodology, Practice</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(02), 23–30.</w:t>
      </w:r>
    </w:p>
    <w:p w14:paraId="19B1E4B5"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Idowu, S., Dragu, I.-M., Tiron Tudor, A., &amp; Farcas, T. (2016). From CSR and Sustainability to Integrated Reporting. </w:t>
      </w:r>
      <w:r>
        <w:rPr>
          <w:rFonts w:ascii="Times New Roman" w:hAnsi="Times New Roman" w:cs="Times New Roman"/>
          <w:i/>
          <w:iCs/>
          <w:sz w:val="24"/>
          <w:szCs w:val="24"/>
        </w:rPr>
        <w:t>International Journal of Social Entrepreneurship and Innovation</w:t>
      </w:r>
      <w:r>
        <w:rPr>
          <w:rFonts w:ascii="Times New Roman" w:hAnsi="Times New Roman" w:cs="Times New Roman"/>
          <w:sz w:val="24"/>
          <w:szCs w:val="24"/>
        </w:rPr>
        <w:t xml:space="preserve">, </w:t>
      </w:r>
      <w:r>
        <w:rPr>
          <w:rFonts w:ascii="Times New Roman" w:hAnsi="Times New Roman" w:cs="Times New Roman"/>
          <w:i/>
          <w:iCs/>
          <w:sz w:val="24"/>
          <w:szCs w:val="24"/>
        </w:rPr>
        <w:t>in press</w:t>
      </w:r>
      <w:r>
        <w:rPr>
          <w:rFonts w:ascii="Times New Roman" w:hAnsi="Times New Roman" w:cs="Times New Roman"/>
          <w:sz w:val="24"/>
          <w:szCs w:val="24"/>
        </w:rPr>
        <w:t>. https://doi.org/10.1504/IJSEI.2016.076687</w:t>
      </w:r>
    </w:p>
    <w:p w14:paraId="589FC44D"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IIRC. (2021). </w:t>
      </w:r>
      <w:r>
        <w:rPr>
          <w:rFonts w:ascii="Times New Roman" w:hAnsi="Times New Roman" w:cs="Times New Roman"/>
          <w:i/>
          <w:iCs/>
          <w:sz w:val="24"/>
          <w:szCs w:val="24"/>
        </w:rPr>
        <w:t>Integrated Reporting Framework</w:t>
      </w:r>
      <w:r>
        <w:rPr>
          <w:rFonts w:ascii="Times New Roman" w:hAnsi="Times New Roman" w:cs="Times New Roman"/>
          <w:sz w:val="24"/>
          <w:szCs w:val="24"/>
        </w:rPr>
        <w:t>. https://www.integratedreporting.org/resource/international-ir-framework/</w:t>
      </w:r>
    </w:p>
    <w:p w14:paraId="043AA1EE"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Ioannou, I., &amp; Serafeim, G. (2017). The consequences of mandatory corporate sustainability reporting. </w:t>
      </w:r>
      <w:r>
        <w:rPr>
          <w:rFonts w:ascii="Times New Roman" w:hAnsi="Times New Roman" w:cs="Times New Roman"/>
          <w:i/>
          <w:iCs/>
          <w:sz w:val="24"/>
          <w:szCs w:val="24"/>
        </w:rPr>
        <w:t>Harvard Business School research working paper</w:t>
      </w:r>
      <w:r>
        <w:rPr>
          <w:rFonts w:ascii="Times New Roman" w:hAnsi="Times New Roman" w:cs="Times New Roman"/>
          <w:sz w:val="24"/>
          <w:szCs w:val="24"/>
        </w:rPr>
        <w:t xml:space="preserve">, </w:t>
      </w:r>
      <w:r>
        <w:rPr>
          <w:rFonts w:ascii="Times New Roman" w:hAnsi="Times New Roman" w:cs="Times New Roman"/>
          <w:i/>
          <w:iCs/>
          <w:sz w:val="24"/>
          <w:szCs w:val="24"/>
        </w:rPr>
        <w:t>11–100</w:t>
      </w:r>
      <w:r>
        <w:rPr>
          <w:rFonts w:ascii="Times New Roman" w:hAnsi="Times New Roman" w:cs="Times New Roman"/>
          <w:sz w:val="24"/>
          <w:szCs w:val="24"/>
        </w:rPr>
        <w:t>.</w:t>
      </w:r>
    </w:p>
    <w:p w14:paraId="5862E6C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ISO. (2010). </w:t>
      </w:r>
      <w:r>
        <w:rPr>
          <w:rFonts w:ascii="Times New Roman" w:hAnsi="Times New Roman" w:cs="Times New Roman"/>
          <w:i/>
          <w:iCs/>
          <w:sz w:val="24"/>
          <w:szCs w:val="24"/>
        </w:rPr>
        <w:t>ISO 26000:2010 Guidance on social responsibility</w:t>
      </w:r>
      <w:r>
        <w:rPr>
          <w:rFonts w:ascii="Times New Roman" w:hAnsi="Times New Roman" w:cs="Times New Roman"/>
          <w:sz w:val="24"/>
          <w:szCs w:val="24"/>
        </w:rPr>
        <w:t>.</w:t>
      </w:r>
    </w:p>
    <w:p w14:paraId="653C266D"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ISSB. (2022). </w:t>
      </w:r>
      <w:r>
        <w:rPr>
          <w:rFonts w:ascii="Times New Roman" w:hAnsi="Times New Roman" w:cs="Times New Roman"/>
          <w:i/>
          <w:iCs/>
          <w:sz w:val="24"/>
          <w:szCs w:val="24"/>
        </w:rPr>
        <w:t>SASB Standards</w:t>
      </w:r>
      <w:r>
        <w:rPr>
          <w:rFonts w:ascii="Times New Roman" w:hAnsi="Times New Roman" w:cs="Times New Roman"/>
          <w:sz w:val="24"/>
          <w:szCs w:val="24"/>
        </w:rPr>
        <w:t>. https://www.sasb.org/standards/download/?lang=en-us</w:t>
      </w:r>
    </w:p>
    <w:p w14:paraId="4F9AFE09"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Kell, G. (2018). </w:t>
      </w:r>
      <w:r>
        <w:rPr>
          <w:rFonts w:ascii="Times New Roman" w:hAnsi="Times New Roman" w:cs="Times New Roman"/>
          <w:i/>
          <w:iCs/>
          <w:sz w:val="24"/>
          <w:szCs w:val="24"/>
        </w:rPr>
        <w:t>The Remarkable Rise Of ESG</w:t>
      </w:r>
      <w:r>
        <w:rPr>
          <w:rFonts w:ascii="Times New Roman" w:hAnsi="Times New Roman" w:cs="Times New Roman"/>
          <w:sz w:val="24"/>
          <w:szCs w:val="24"/>
        </w:rPr>
        <w:t>. Forbes. https://www.forbes.com/sites/georgkell/2018/07/11/the-remarkable-rise-of-esg/</w:t>
      </w:r>
    </w:p>
    <w:p w14:paraId="0810825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Kocmanova, A., Docekalova, M. P., &amp; Simanaviciene, Z. (2017). Corporate sustainability measurement and assessment of Czech manufacturing companies using a composite indicator. </w:t>
      </w:r>
      <w:r>
        <w:rPr>
          <w:rFonts w:ascii="Times New Roman" w:hAnsi="Times New Roman" w:cs="Times New Roman"/>
          <w:i/>
          <w:iCs/>
          <w:sz w:val="24"/>
          <w:szCs w:val="24"/>
        </w:rPr>
        <w:t>Engineering Economics</w:t>
      </w:r>
      <w:r>
        <w:rPr>
          <w:rFonts w:ascii="Times New Roman" w:hAnsi="Times New Roman" w:cs="Times New Roman"/>
          <w:sz w:val="24"/>
          <w:szCs w:val="24"/>
        </w:rPr>
        <w:t xml:space="preserve">, </w:t>
      </w:r>
      <w:r>
        <w:rPr>
          <w:rFonts w:ascii="Times New Roman" w:hAnsi="Times New Roman" w:cs="Times New Roman"/>
          <w:i/>
          <w:iCs/>
          <w:sz w:val="24"/>
          <w:szCs w:val="24"/>
        </w:rPr>
        <w:t>28</w:t>
      </w:r>
      <w:r>
        <w:rPr>
          <w:rFonts w:ascii="Times New Roman" w:hAnsi="Times New Roman" w:cs="Times New Roman"/>
          <w:sz w:val="24"/>
          <w:szCs w:val="24"/>
        </w:rPr>
        <w:t>(1), 88–100. Scopus. https://doi.org/10.5755/j01.ee.28.1.15323</w:t>
      </w:r>
    </w:p>
    <w:p w14:paraId="7C6488EF"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Kotsantonis, S., &amp; Serafeim, G. (2019). Four Things No One Will Tell You About ESG Data. </w:t>
      </w:r>
      <w:r>
        <w:rPr>
          <w:rFonts w:ascii="Times New Roman" w:hAnsi="Times New Roman" w:cs="Times New Roman"/>
          <w:i/>
          <w:iCs/>
          <w:sz w:val="24"/>
          <w:szCs w:val="24"/>
        </w:rPr>
        <w:t>JOURNAL OF APPLIED CORPORATE FINANCE</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(2), 50–58. https://doi.org/10.1111/jacf.12346</w:t>
      </w:r>
    </w:p>
    <w:p w14:paraId="37E63069"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KPMG. (2017). </w:t>
      </w:r>
      <w:r>
        <w:rPr>
          <w:rFonts w:ascii="Times New Roman" w:hAnsi="Times New Roman" w:cs="Times New Roman"/>
          <w:i/>
          <w:iCs/>
          <w:sz w:val="24"/>
          <w:szCs w:val="24"/>
        </w:rPr>
        <w:t>The KPMG Survey of Corporate Responsibility Reporting 2017</w:t>
      </w:r>
      <w:r>
        <w:rPr>
          <w:rFonts w:ascii="Times New Roman" w:hAnsi="Times New Roman" w:cs="Times New Roman"/>
          <w:sz w:val="24"/>
          <w:szCs w:val="24"/>
        </w:rPr>
        <w:t>. https://assets.kpmg/content/dam/kpmg/xx/pdf/2017/10/kpmg-survey-of-corporate-responsibility-reporting-2017.pdf</w:t>
      </w:r>
    </w:p>
    <w:p w14:paraId="14DC0217"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Krzus, M. P. (2011). Integrated reporting: If not now, when. </w:t>
      </w:r>
      <w:r>
        <w:rPr>
          <w:rFonts w:ascii="Times New Roman" w:hAnsi="Times New Roman" w:cs="Times New Roman"/>
          <w:i/>
          <w:iCs/>
          <w:sz w:val="24"/>
          <w:szCs w:val="24"/>
        </w:rPr>
        <w:t>Zeitschrift für internationale Rechnungslegung</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(6), 271–276.</w:t>
      </w:r>
    </w:p>
    <w:p w14:paraId="5748ECF1"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Lamberton, G. (2005). Sustainability accounting—A brief history and conceptual framework. </w:t>
      </w:r>
      <w:r>
        <w:rPr>
          <w:rFonts w:ascii="Times New Roman" w:hAnsi="Times New Roman" w:cs="Times New Roman"/>
          <w:i/>
          <w:iCs/>
          <w:sz w:val="24"/>
          <w:szCs w:val="24"/>
        </w:rPr>
        <w:t>Accounting forum</w:t>
      </w:r>
      <w:r>
        <w:rPr>
          <w:rFonts w:ascii="Times New Roman" w:hAnsi="Times New Roman" w:cs="Times New Roman"/>
          <w:sz w:val="24"/>
          <w:szCs w:val="24"/>
        </w:rPr>
        <w:t xml:space="preserve">, </w:t>
      </w:r>
      <w:r>
        <w:rPr>
          <w:rFonts w:ascii="Times New Roman" w:hAnsi="Times New Roman" w:cs="Times New Roman"/>
          <w:i/>
          <w:iCs/>
          <w:sz w:val="24"/>
          <w:szCs w:val="24"/>
        </w:rPr>
        <w:t>29</w:t>
      </w:r>
      <w:r>
        <w:rPr>
          <w:rFonts w:ascii="Times New Roman" w:hAnsi="Times New Roman" w:cs="Times New Roman"/>
          <w:sz w:val="24"/>
          <w:szCs w:val="24"/>
        </w:rPr>
        <w:t>(1), 7–26.</w:t>
      </w:r>
    </w:p>
    <w:p w14:paraId="23B6C96C"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Landrum, N. E., &amp; Ohsowski, B. (2018). Identifying Worldviews on Corporate Sustainability: A Content Analysis of Corporate Sustainability Reports. </w:t>
      </w:r>
      <w:r>
        <w:rPr>
          <w:rFonts w:ascii="Times New Roman" w:hAnsi="Times New Roman" w:cs="Times New Roman"/>
          <w:i/>
          <w:iCs/>
          <w:sz w:val="24"/>
          <w:szCs w:val="24"/>
        </w:rPr>
        <w:t>Business Strategy and the Environment</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(1), 128–151. https://doi.org/10.1002/bse.1989</w:t>
      </w:r>
    </w:p>
    <w:p w14:paraId="3659EEFB"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Lentner C., Szegedi K., &amp; Tatay T. (2015). A központi bankok társadalmi felelőssége (Social responsibility of central banks). </w:t>
      </w:r>
      <w:r>
        <w:rPr>
          <w:rFonts w:ascii="Times New Roman" w:hAnsi="Times New Roman" w:cs="Times New Roman"/>
          <w:i/>
          <w:iCs/>
          <w:sz w:val="24"/>
          <w:szCs w:val="24"/>
        </w:rPr>
        <w:t>Vezetéstudomány - Budapest Management Review</w:t>
      </w:r>
      <w:r>
        <w:rPr>
          <w:rFonts w:ascii="Times New Roman" w:hAnsi="Times New Roman" w:cs="Times New Roman"/>
          <w:sz w:val="24"/>
          <w:szCs w:val="24"/>
        </w:rPr>
        <w:t xml:space="preserve">, </w:t>
      </w:r>
      <w:r>
        <w:rPr>
          <w:rFonts w:ascii="Times New Roman" w:hAnsi="Times New Roman" w:cs="Times New Roman"/>
          <w:i/>
          <w:iCs/>
          <w:sz w:val="24"/>
          <w:szCs w:val="24"/>
        </w:rPr>
        <w:t>46</w:t>
      </w:r>
      <w:r>
        <w:rPr>
          <w:rFonts w:ascii="Times New Roman" w:hAnsi="Times New Roman" w:cs="Times New Roman"/>
          <w:sz w:val="24"/>
          <w:szCs w:val="24"/>
        </w:rPr>
        <w:t>(9–10), Art. 9–10. https://doi.org/10.14267/VEZTUD.2015.09.04</w:t>
      </w:r>
    </w:p>
    <w:p w14:paraId="3331D63F"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Li, F., &amp; Polychronopoulos, A. (2020). What a difference an ESG ratings provider makes. </w:t>
      </w:r>
      <w:r>
        <w:rPr>
          <w:rFonts w:ascii="Times New Roman" w:hAnsi="Times New Roman" w:cs="Times New Roman"/>
          <w:i/>
          <w:iCs/>
          <w:sz w:val="24"/>
          <w:szCs w:val="24"/>
        </w:rPr>
        <w:t>Research Affiliates. https://www. researchaffiliates. com/documents/770-what-a-difference-an-esg-ratings-provider-makes. pdf</w:t>
      </w:r>
      <w:r>
        <w:rPr>
          <w:rFonts w:ascii="Times New Roman" w:hAnsi="Times New Roman" w:cs="Times New Roman"/>
          <w:sz w:val="24"/>
          <w:szCs w:val="24"/>
        </w:rPr>
        <w:t>.</w:t>
      </w:r>
    </w:p>
    <w:p w14:paraId="19F4F82B"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Liang, H., &amp; Renneboog, L. (2020). </w:t>
      </w:r>
      <w:r>
        <w:rPr>
          <w:rFonts w:ascii="Times New Roman" w:hAnsi="Times New Roman" w:cs="Times New Roman"/>
          <w:i/>
          <w:iCs/>
          <w:sz w:val="24"/>
          <w:szCs w:val="24"/>
        </w:rPr>
        <w:t>Corporate Social Responsibility and Sustainable Finance: A Review of the Literature</w:t>
      </w:r>
      <w:r>
        <w:rPr>
          <w:rFonts w:ascii="Times New Roman" w:hAnsi="Times New Roman" w:cs="Times New Roman"/>
          <w:sz w:val="24"/>
          <w:szCs w:val="24"/>
        </w:rPr>
        <w:t xml:space="preserve"> (SSRN Scholarly Paper Sz. 3698631). Social Science Research Network. https://doi.org/10.2139/ssrn.3698631</w:t>
      </w:r>
    </w:p>
    <w:p w14:paraId="65E155D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Lippai-Makra, E. (2020). A nem pénzügyi jelentéstétel szabályozása Magyarországon. </w:t>
      </w:r>
      <w:r>
        <w:rPr>
          <w:rFonts w:ascii="Times New Roman" w:hAnsi="Times New Roman" w:cs="Times New Roman"/>
          <w:i/>
          <w:iCs/>
          <w:sz w:val="24"/>
          <w:szCs w:val="24"/>
        </w:rPr>
        <w:t>Szegedi Tudományegyetem, Gazdaságtudományi Kar, Pénzügyek és Nemzetközi Gazdasági Kapcsolatok Intézete</w:t>
      </w:r>
      <w:r>
        <w:rPr>
          <w:rFonts w:ascii="Times New Roman" w:hAnsi="Times New Roman" w:cs="Times New Roman"/>
          <w:sz w:val="24"/>
          <w:szCs w:val="24"/>
        </w:rPr>
        <w:t>.</w:t>
      </w:r>
    </w:p>
    <w:p w14:paraId="10A64F1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Medel-González, F., García-Ávila, L., Acosta-Beltrán, A., &amp; Hernández, C. (2013). Measuring and evaluating business sustainability: Development and application of corporate index of sustainability performance. In </w:t>
      </w:r>
      <w:r>
        <w:rPr>
          <w:rFonts w:ascii="Times New Roman" w:hAnsi="Times New Roman" w:cs="Times New Roman"/>
          <w:i/>
          <w:iCs/>
          <w:sz w:val="24"/>
          <w:szCs w:val="24"/>
        </w:rPr>
        <w:t>Sustainability appraisal: Quantitative methods and mathematical techniques for environmental performance evaluation</w:t>
      </w:r>
      <w:r>
        <w:rPr>
          <w:rFonts w:ascii="Times New Roman" w:hAnsi="Times New Roman" w:cs="Times New Roman"/>
          <w:sz w:val="24"/>
          <w:szCs w:val="24"/>
        </w:rPr>
        <w:t xml:space="preserve"> (o. 33–61). Springer.</w:t>
      </w:r>
    </w:p>
    <w:p w14:paraId="57347A6C"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MSCI. (2018). </w:t>
      </w:r>
      <w:r>
        <w:rPr>
          <w:rFonts w:ascii="Times New Roman" w:hAnsi="Times New Roman" w:cs="Times New Roman"/>
          <w:i/>
          <w:iCs/>
          <w:sz w:val="24"/>
          <w:szCs w:val="24"/>
        </w:rPr>
        <w:t>Introducing ESG investing</w:t>
      </w:r>
      <w:r>
        <w:rPr>
          <w:rFonts w:ascii="Times New Roman" w:hAnsi="Times New Roman" w:cs="Times New Roman"/>
          <w:sz w:val="24"/>
          <w:szCs w:val="24"/>
        </w:rPr>
        <w:t>. https://www.msci.com/documents/1296102/7943776/ESG+Investing+brochure.pdf/bcac11cb-872b-fe75-34b3-2eaca4526237. https://www.msci.com/documents/1296102/7943776/ESG+Investing+brochure.pdf/bcac11cb-872b-fe75-34b3-2eaca4526237</w:t>
      </w:r>
    </w:p>
    <w:p w14:paraId="13495801"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Nagy, Z. (2020). </w:t>
      </w:r>
      <w:r>
        <w:rPr>
          <w:rFonts w:ascii="Times New Roman" w:hAnsi="Times New Roman" w:cs="Times New Roman"/>
          <w:i/>
          <w:iCs/>
          <w:sz w:val="24"/>
          <w:szCs w:val="24"/>
        </w:rPr>
        <w:t>ESG: a miérttől a hogyanig</w:t>
      </w:r>
      <w:r>
        <w:rPr>
          <w:rFonts w:ascii="Times New Roman" w:hAnsi="Times New Roman" w:cs="Times New Roman"/>
          <w:sz w:val="24"/>
          <w:szCs w:val="24"/>
        </w:rPr>
        <w:t>. https://www.bet.hu/pfile/file?path=/site/Magyar/Dokumentumok/Rolunk/bet-campus/esg-szakmai-forum---07.16./MSCI_Nagy_Zoltan.pdf1</w:t>
      </w:r>
    </w:p>
    <w:p w14:paraId="7FC1DEDF"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Nauman, B. (2019, augusztus 20). Artificial intelligence promises to enhance sustainable investing. </w:t>
      </w:r>
      <w:r>
        <w:rPr>
          <w:rFonts w:ascii="Times New Roman" w:hAnsi="Times New Roman" w:cs="Times New Roman"/>
          <w:i/>
          <w:iCs/>
          <w:sz w:val="24"/>
          <w:szCs w:val="24"/>
        </w:rPr>
        <w:t>Financial Times</w:t>
      </w:r>
      <w:r>
        <w:rPr>
          <w:rFonts w:ascii="Times New Roman" w:hAnsi="Times New Roman" w:cs="Times New Roman"/>
          <w:sz w:val="24"/>
          <w:szCs w:val="24"/>
        </w:rPr>
        <w:t>. https://www.ft.com/content/7c40cdfc-b528-11e9-bec9-fdcab53d6959</w:t>
      </w:r>
    </w:p>
    <w:p w14:paraId="4B90204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Orlitzky, M., Schmidt, F. L., &amp; Rynes, S. L. (2003). Corporate social and financial performance: A meta-analysis. </w:t>
      </w:r>
      <w:r>
        <w:rPr>
          <w:rFonts w:ascii="Times New Roman" w:hAnsi="Times New Roman" w:cs="Times New Roman"/>
          <w:i/>
          <w:iCs/>
          <w:sz w:val="24"/>
          <w:szCs w:val="24"/>
        </w:rPr>
        <w:t>Organization studies</w:t>
      </w:r>
      <w:r>
        <w:rPr>
          <w:rFonts w:ascii="Times New Roman" w:hAnsi="Times New Roman" w:cs="Times New Roman"/>
          <w:sz w:val="24"/>
          <w:szCs w:val="24"/>
        </w:rPr>
        <w:t xml:space="preserve">, </w:t>
      </w:r>
      <w:r>
        <w:rPr>
          <w:rFonts w:ascii="Times New Roman" w:hAnsi="Times New Roman" w:cs="Times New Roman"/>
          <w:i/>
          <w:iCs/>
          <w:sz w:val="24"/>
          <w:szCs w:val="24"/>
        </w:rPr>
        <w:t>24</w:t>
      </w:r>
      <w:r>
        <w:rPr>
          <w:rFonts w:ascii="Times New Roman" w:hAnsi="Times New Roman" w:cs="Times New Roman"/>
          <w:sz w:val="24"/>
          <w:szCs w:val="24"/>
        </w:rPr>
        <w:t>(3), 403–441.</w:t>
      </w:r>
    </w:p>
    <w:p w14:paraId="733302A8"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Pagano, M. S. ( 1 ), Sinclair, G. ( 2 ), &amp; Yang, T. ( 3 ). (2018). Understanding ESG ratings and ESG indexes. In </w:t>
      </w:r>
      <w:r>
        <w:rPr>
          <w:rFonts w:ascii="Times New Roman" w:hAnsi="Times New Roman" w:cs="Times New Roman"/>
          <w:i/>
          <w:iCs/>
          <w:sz w:val="24"/>
          <w:szCs w:val="24"/>
        </w:rPr>
        <w:t>Research Handbook of Finance and Sustainability</w:t>
      </w:r>
      <w:r>
        <w:rPr>
          <w:rFonts w:ascii="Times New Roman" w:hAnsi="Times New Roman" w:cs="Times New Roman"/>
          <w:sz w:val="24"/>
          <w:szCs w:val="24"/>
        </w:rPr>
        <w:t>. Edward Elgar Publishing Ltd.; Scopus®. https://search.ebscohost.com/login.aspx?direct=true&amp;db=edselc&amp;AN=edselc.2-52.0-85069792049&amp;site=eds-live</w:t>
      </w:r>
    </w:p>
    <w:p w14:paraId="06F9D01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Popescu, I.-S., Hitaj, C., &amp; Benetto, E. (2021). Measuring the sustainability of investment funds: A critical review of methods and frameworks in sustainable finance. </w:t>
      </w:r>
      <w:r>
        <w:rPr>
          <w:rFonts w:ascii="Times New Roman" w:hAnsi="Times New Roman" w:cs="Times New Roman"/>
          <w:i/>
          <w:iCs/>
          <w:sz w:val="24"/>
          <w:szCs w:val="24"/>
        </w:rPr>
        <w:t>Journal of Cleaner Production</w:t>
      </w:r>
      <w:r>
        <w:rPr>
          <w:rFonts w:ascii="Times New Roman" w:hAnsi="Times New Roman" w:cs="Times New Roman"/>
          <w:sz w:val="24"/>
          <w:szCs w:val="24"/>
        </w:rPr>
        <w:t xml:space="preserve">, </w:t>
      </w:r>
      <w:r>
        <w:rPr>
          <w:rFonts w:ascii="Times New Roman" w:hAnsi="Times New Roman" w:cs="Times New Roman"/>
          <w:i/>
          <w:iCs/>
          <w:sz w:val="24"/>
          <w:szCs w:val="24"/>
        </w:rPr>
        <w:t>314</w:t>
      </w:r>
      <w:r>
        <w:rPr>
          <w:rFonts w:ascii="Times New Roman" w:hAnsi="Times New Roman" w:cs="Times New Roman"/>
          <w:sz w:val="24"/>
          <w:szCs w:val="24"/>
        </w:rPr>
        <w:t>. https://doi.org/10.1016/j.jclepro.2021.128016</w:t>
      </w:r>
    </w:p>
    <w:p w14:paraId="38B08295"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Porter, M. E., &amp; Kramer, M. R. (2011). The Big Idea: Creating Shared Value. How to reinvent capitalism—and unleash a wave of innovation and growth. </w:t>
      </w:r>
      <w:r>
        <w:rPr>
          <w:rFonts w:ascii="Times New Roman" w:hAnsi="Times New Roman" w:cs="Times New Roman"/>
          <w:i/>
          <w:iCs/>
          <w:sz w:val="24"/>
          <w:szCs w:val="24"/>
        </w:rPr>
        <w:t>Harvard business review</w:t>
      </w:r>
      <w:r>
        <w:rPr>
          <w:rFonts w:ascii="Times New Roman" w:hAnsi="Times New Roman" w:cs="Times New Roman"/>
          <w:sz w:val="24"/>
          <w:szCs w:val="24"/>
        </w:rPr>
        <w:t xml:space="preserve">, </w:t>
      </w:r>
      <w:r>
        <w:rPr>
          <w:rFonts w:ascii="Times New Roman" w:hAnsi="Times New Roman" w:cs="Times New Roman"/>
          <w:i/>
          <w:iCs/>
          <w:sz w:val="24"/>
          <w:szCs w:val="24"/>
        </w:rPr>
        <w:t>89</w:t>
      </w:r>
      <w:r>
        <w:rPr>
          <w:rFonts w:ascii="Times New Roman" w:hAnsi="Times New Roman" w:cs="Times New Roman"/>
          <w:sz w:val="24"/>
          <w:szCs w:val="24"/>
        </w:rPr>
        <w:t>(1–2).</w:t>
      </w:r>
    </w:p>
    <w:p w14:paraId="668E568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i/>
          <w:iCs/>
          <w:sz w:val="24"/>
          <w:szCs w:val="24"/>
        </w:rPr>
        <w:t>Proposal for a directive of The European Parliament and of The Council amending Directive 2013/34/EU, Directive 2004/109/EC, Directive 2006/43/EC and Regulation (EU) No 537/2014, as regards corporate sustainability reporting</w:t>
      </w:r>
      <w:r>
        <w:rPr>
          <w:rFonts w:ascii="Times New Roman" w:hAnsi="Times New Roman" w:cs="Times New Roman"/>
          <w:sz w:val="24"/>
          <w:szCs w:val="24"/>
        </w:rPr>
        <w:t>, (2021). https://eur-lex.europa.eu/legal-content/EN/TXT/?uri=CELEX:52021PC0189</w:t>
      </w:r>
    </w:p>
    <w:p w14:paraId="7D99A4E5"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Putzer P. (2011). CSR - Merre tovább? </w:t>
      </w:r>
      <w:r>
        <w:rPr>
          <w:rFonts w:ascii="Times New Roman" w:hAnsi="Times New Roman" w:cs="Times New Roman"/>
          <w:i/>
          <w:iCs/>
          <w:sz w:val="24"/>
          <w:szCs w:val="24"/>
        </w:rPr>
        <w:t>Marketing &amp; Menedzsment</w:t>
      </w:r>
      <w:r>
        <w:rPr>
          <w:rFonts w:ascii="Times New Roman" w:hAnsi="Times New Roman" w:cs="Times New Roman"/>
          <w:sz w:val="24"/>
          <w:szCs w:val="24"/>
        </w:rPr>
        <w:t xml:space="preserve">, </w:t>
      </w:r>
      <w:r>
        <w:rPr>
          <w:rFonts w:ascii="Times New Roman" w:hAnsi="Times New Roman" w:cs="Times New Roman"/>
          <w:i/>
          <w:iCs/>
          <w:sz w:val="24"/>
          <w:szCs w:val="24"/>
        </w:rPr>
        <w:t>45</w:t>
      </w:r>
      <w:r>
        <w:rPr>
          <w:rFonts w:ascii="Times New Roman" w:hAnsi="Times New Roman" w:cs="Times New Roman"/>
          <w:sz w:val="24"/>
          <w:szCs w:val="24"/>
        </w:rPr>
        <w:t>(4), Art. 4.</w:t>
      </w:r>
    </w:p>
    <w:p w14:paraId="0A57E61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Reverte, C. (2009). Determinants of corporate social responsibility disclosure ratings by Spanish listed firms. </w:t>
      </w:r>
      <w:r>
        <w:rPr>
          <w:rFonts w:ascii="Times New Roman" w:hAnsi="Times New Roman" w:cs="Times New Roman"/>
          <w:i/>
          <w:iCs/>
          <w:sz w:val="24"/>
          <w:szCs w:val="24"/>
        </w:rPr>
        <w:t>Journal of business ethics</w:t>
      </w:r>
      <w:r>
        <w:rPr>
          <w:rFonts w:ascii="Times New Roman" w:hAnsi="Times New Roman" w:cs="Times New Roman"/>
          <w:sz w:val="24"/>
          <w:szCs w:val="24"/>
        </w:rPr>
        <w:t xml:space="preserve">, </w:t>
      </w:r>
      <w:r>
        <w:rPr>
          <w:rFonts w:ascii="Times New Roman" w:hAnsi="Times New Roman" w:cs="Times New Roman"/>
          <w:i/>
          <w:iCs/>
          <w:sz w:val="24"/>
          <w:szCs w:val="24"/>
        </w:rPr>
        <w:t>88</w:t>
      </w:r>
      <w:r>
        <w:rPr>
          <w:rFonts w:ascii="Times New Roman" w:hAnsi="Times New Roman" w:cs="Times New Roman"/>
          <w:sz w:val="24"/>
          <w:szCs w:val="24"/>
        </w:rPr>
        <w:t>(2), 351–366.</w:t>
      </w:r>
    </w:p>
    <w:p w14:paraId="69220432"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Sajtos László &amp; Mitev Ariel. (2007). </w:t>
      </w:r>
      <w:r>
        <w:rPr>
          <w:rFonts w:ascii="Times New Roman" w:hAnsi="Times New Roman" w:cs="Times New Roman"/>
          <w:i/>
          <w:iCs/>
          <w:sz w:val="24"/>
          <w:szCs w:val="24"/>
        </w:rPr>
        <w:t>SPSS kutatási és adatelemzési kézikönyv</w:t>
      </w:r>
      <w:r>
        <w:rPr>
          <w:rFonts w:ascii="Times New Roman" w:hAnsi="Times New Roman" w:cs="Times New Roman"/>
          <w:sz w:val="24"/>
          <w:szCs w:val="24"/>
        </w:rPr>
        <w:t>. Alinea Kiadó.</w:t>
      </w:r>
    </w:p>
    <w:p w14:paraId="5907F330"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Schaltegger, S., &amp; Burritt, R. (2001). Contemporary environmental accounting: Issues, concepts and practice. </w:t>
      </w:r>
      <w:r>
        <w:rPr>
          <w:rFonts w:ascii="Times New Roman" w:hAnsi="Times New Roman" w:cs="Times New Roman"/>
          <w:i/>
          <w:iCs/>
          <w:sz w:val="24"/>
          <w:szCs w:val="24"/>
        </w:rPr>
        <w:t>International Journal of Sustainability in Higher Education</w:t>
      </w:r>
      <w:r>
        <w:rPr>
          <w:rFonts w:ascii="Times New Roman" w:hAnsi="Times New Roman" w:cs="Times New Roman"/>
          <w:sz w:val="24"/>
          <w:szCs w:val="24"/>
        </w:rPr>
        <w:t>.</w:t>
      </w:r>
    </w:p>
    <w:p w14:paraId="21097066"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Schaltegger, S., &amp; Burritt, R. L. (2010). Sustainability accounting for companies: Catchphrase or decision support for business leaders? </w:t>
      </w:r>
      <w:r>
        <w:rPr>
          <w:rFonts w:ascii="Times New Roman" w:hAnsi="Times New Roman" w:cs="Times New Roman"/>
          <w:i/>
          <w:iCs/>
          <w:sz w:val="24"/>
          <w:szCs w:val="24"/>
        </w:rPr>
        <w:t>Journal of World Business</w:t>
      </w:r>
      <w:r>
        <w:rPr>
          <w:rFonts w:ascii="Times New Roman" w:hAnsi="Times New Roman" w:cs="Times New Roman"/>
          <w:sz w:val="24"/>
          <w:szCs w:val="24"/>
        </w:rPr>
        <w:t xml:space="preserve">, </w:t>
      </w:r>
      <w:r>
        <w:rPr>
          <w:rFonts w:ascii="Times New Roman" w:hAnsi="Times New Roman" w:cs="Times New Roman"/>
          <w:i/>
          <w:iCs/>
          <w:sz w:val="24"/>
          <w:szCs w:val="24"/>
        </w:rPr>
        <w:t>45</w:t>
      </w:r>
      <w:r>
        <w:rPr>
          <w:rFonts w:ascii="Times New Roman" w:hAnsi="Times New Roman" w:cs="Times New Roman"/>
          <w:sz w:val="24"/>
          <w:szCs w:val="24"/>
        </w:rPr>
        <w:t>(4), 375–384.</w:t>
      </w:r>
    </w:p>
    <w:p w14:paraId="0229CB7B"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Semenova, N., &amp; Hassel, L. G. (2015). On the validity of environmental performance metrics. </w:t>
      </w:r>
      <w:r>
        <w:rPr>
          <w:rFonts w:ascii="Times New Roman" w:hAnsi="Times New Roman" w:cs="Times New Roman"/>
          <w:i/>
          <w:iCs/>
          <w:sz w:val="24"/>
          <w:szCs w:val="24"/>
        </w:rPr>
        <w:t>Journal of Business Ethics</w:t>
      </w:r>
      <w:r>
        <w:rPr>
          <w:rFonts w:ascii="Times New Roman" w:hAnsi="Times New Roman" w:cs="Times New Roman"/>
          <w:sz w:val="24"/>
          <w:szCs w:val="24"/>
        </w:rPr>
        <w:t xml:space="preserve">, </w:t>
      </w:r>
      <w:r>
        <w:rPr>
          <w:rFonts w:ascii="Times New Roman" w:hAnsi="Times New Roman" w:cs="Times New Roman"/>
          <w:i/>
          <w:iCs/>
          <w:sz w:val="24"/>
          <w:szCs w:val="24"/>
        </w:rPr>
        <w:t>132</w:t>
      </w:r>
      <w:r>
        <w:rPr>
          <w:rFonts w:ascii="Times New Roman" w:hAnsi="Times New Roman" w:cs="Times New Roman"/>
          <w:sz w:val="24"/>
          <w:szCs w:val="24"/>
        </w:rPr>
        <w:t>(2), 249–258.</w:t>
      </w:r>
    </w:p>
    <w:p w14:paraId="186FD9AB"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Sharkey, A. J., &amp; Bromley, P. (2015). Can ratings have indirect effects? Evidence from the organizational response to peers’ environmental ratings. </w:t>
      </w:r>
      <w:r>
        <w:rPr>
          <w:rFonts w:ascii="Times New Roman" w:hAnsi="Times New Roman" w:cs="Times New Roman"/>
          <w:i/>
          <w:iCs/>
          <w:sz w:val="24"/>
          <w:szCs w:val="24"/>
        </w:rPr>
        <w:t>American Sociological Review</w:t>
      </w:r>
      <w:r>
        <w:rPr>
          <w:rFonts w:ascii="Times New Roman" w:hAnsi="Times New Roman" w:cs="Times New Roman"/>
          <w:sz w:val="24"/>
          <w:szCs w:val="24"/>
        </w:rPr>
        <w:t xml:space="preserve">, </w:t>
      </w:r>
      <w:r>
        <w:rPr>
          <w:rFonts w:ascii="Times New Roman" w:hAnsi="Times New Roman" w:cs="Times New Roman"/>
          <w:i/>
          <w:iCs/>
          <w:sz w:val="24"/>
          <w:szCs w:val="24"/>
        </w:rPr>
        <w:t>80</w:t>
      </w:r>
      <w:r>
        <w:rPr>
          <w:rFonts w:ascii="Times New Roman" w:hAnsi="Times New Roman" w:cs="Times New Roman"/>
          <w:sz w:val="24"/>
          <w:szCs w:val="24"/>
        </w:rPr>
        <w:t>(1), 63–91.</w:t>
      </w:r>
    </w:p>
    <w:p w14:paraId="15FE4081"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Siew, R. Y. (2015). A review of corporate sustainability reporting tools (SRTs). </w:t>
      </w:r>
      <w:r>
        <w:rPr>
          <w:rFonts w:ascii="Times New Roman" w:hAnsi="Times New Roman" w:cs="Times New Roman"/>
          <w:i/>
          <w:iCs/>
          <w:sz w:val="24"/>
          <w:szCs w:val="24"/>
        </w:rPr>
        <w:t>Journal of environmental management</w:t>
      </w:r>
      <w:r>
        <w:rPr>
          <w:rFonts w:ascii="Times New Roman" w:hAnsi="Times New Roman" w:cs="Times New Roman"/>
          <w:sz w:val="24"/>
          <w:szCs w:val="24"/>
        </w:rPr>
        <w:t xml:space="preserve">, </w:t>
      </w:r>
      <w:r>
        <w:rPr>
          <w:rFonts w:ascii="Times New Roman" w:hAnsi="Times New Roman" w:cs="Times New Roman"/>
          <w:i/>
          <w:iCs/>
          <w:sz w:val="24"/>
          <w:szCs w:val="24"/>
        </w:rPr>
        <w:t>164</w:t>
      </w:r>
      <w:r>
        <w:rPr>
          <w:rFonts w:ascii="Times New Roman" w:hAnsi="Times New Roman" w:cs="Times New Roman"/>
          <w:sz w:val="24"/>
          <w:szCs w:val="24"/>
        </w:rPr>
        <w:t>, 180–195.</w:t>
      </w:r>
    </w:p>
    <w:p w14:paraId="55FD5500"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Smith, N. C. (2003). Corporate social responsibility: Not whether, but how. </w:t>
      </w:r>
      <w:r>
        <w:rPr>
          <w:rFonts w:ascii="Times New Roman" w:hAnsi="Times New Roman" w:cs="Times New Roman"/>
          <w:i/>
          <w:iCs/>
          <w:sz w:val="24"/>
          <w:szCs w:val="24"/>
        </w:rPr>
        <w:t>Center for Marketing Working Paper</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(701), 1–35.</w:t>
      </w:r>
    </w:p>
    <w:p w14:paraId="72B2CD6B"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S&amp;P Global. (2022). </w:t>
      </w:r>
      <w:r>
        <w:rPr>
          <w:rFonts w:ascii="Times New Roman" w:hAnsi="Times New Roman" w:cs="Times New Roman"/>
          <w:i/>
          <w:iCs/>
          <w:sz w:val="24"/>
          <w:szCs w:val="24"/>
        </w:rPr>
        <w:t>We are S&amp;P Global.</w:t>
      </w:r>
      <w:r>
        <w:rPr>
          <w:rFonts w:ascii="Times New Roman" w:hAnsi="Times New Roman" w:cs="Times New Roman"/>
          <w:sz w:val="24"/>
          <w:szCs w:val="24"/>
        </w:rPr>
        <w:t xml:space="preserve"> https://www.spglobal.com/en/who-we-are/</w:t>
      </w:r>
    </w:p>
    <w:p w14:paraId="507F7BB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Szegedi, K. (2014). Possibilities of corporate social responsibility. </w:t>
      </w:r>
      <w:r>
        <w:rPr>
          <w:rFonts w:ascii="Times New Roman" w:hAnsi="Times New Roman" w:cs="Times New Roman"/>
          <w:i/>
          <w:iCs/>
          <w:sz w:val="24"/>
          <w:szCs w:val="24"/>
        </w:rPr>
        <w:t>2014): Management Challenges in the 21st Century. LAP LAMBERT Academic Publishing</w:t>
      </w:r>
      <w:r>
        <w:rPr>
          <w:rFonts w:ascii="Times New Roman" w:hAnsi="Times New Roman" w:cs="Times New Roman"/>
          <w:sz w:val="24"/>
          <w:szCs w:val="24"/>
        </w:rPr>
        <w:t>.</w:t>
      </w:r>
    </w:p>
    <w:p w14:paraId="45B98FB7"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TCFD. (2022). </w:t>
      </w:r>
      <w:r>
        <w:rPr>
          <w:rFonts w:ascii="Times New Roman" w:hAnsi="Times New Roman" w:cs="Times New Roman"/>
          <w:i/>
          <w:iCs/>
          <w:sz w:val="24"/>
          <w:szCs w:val="24"/>
        </w:rPr>
        <w:t>Publications</w:t>
      </w:r>
      <w:r>
        <w:rPr>
          <w:rFonts w:ascii="Times New Roman" w:hAnsi="Times New Roman" w:cs="Times New Roman"/>
          <w:sz w:val="24"/>
          <w:szCs w:val="24"/>
        </w:rPr>
        <w:t>. https://www.fsb-tcfd.org/publications/</w:t>
      </w:r>
    </w:p>
    <w:p w14:paraId="7ACB4BD3"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Utz, S. (2019). Corporate scandals and the reliability of ESG assessments: Evidence from an international sample. </w:t>
      </w:r>
      <w:r>
        <w:rPr>
          <w:rFonts w:ascii="Times New Roman" w:hAnsi="Times New Roman" w:cs="Times New Roman"/>
          <w:i/>
          <w:iCs/>
          <w:sz w:val="24"/>
          <w:szCs w:val="24"/>
        </w:rPr>
        <w:t>REVIEW OF MANAGERIAL SCIENCE</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(2), 483–511. https://doi.org/10.1007/s11846-017-0256-x</w:t>
      </w:r>
    </w:p>
    <w:p w14:paraId="6428D08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Walter, I. (2020). Sense and nonsense in ESG ratings. </w:t>
      </w:r>
      <w:r>
        <w:rPr>
          <w:rFonts w:ascii="Times New Roman" w:hAnsi="Times New Roman" w:cs="Times New Roman"/>
          <w:i/>
          <w:iCs/>
          <w:sz w:val="24"/>
          <w:szCs w:val="24"/>
        </w:rPr>
        <w:t>Journal of Law, Finance, and Accounting</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(2), 307–336. https://doi.org/10.1561/108.00000049</w:t>
      </w:r>
    </w:p>
    <w:p w14:paraId="0CD44354"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lastRenderedPageBreak/>
        <w:t xml:space="preserve">Wong, C. (2018). </w:t>
      </w:r>
      <w:r>
        <w:rPr>
          <w:rFonts w:ascii="Times New Roman" w:hAnsi="Times New Roman" w:cs="Times New Roman"/>
          <w:i/>
          <w:iCs/>
          <w:sz w:val="24"/>
          <w:szCs w:val="24"/>
        </w:rPr>
        <w:t>Rate the Raters 2018: Ratings Revisited</w:t>
      </w:r>
      <w:r>
        <w:rPr>
          <w:rFonts w:ascii="Times New Roman" w:hAnsi="Times New Roman" w:cs="Times New Roman"/>
          <w:sz w:val="24"/>
          <w:szCs w:val="24"/>
        </w:rPr>
        <w:t>. The SustainAbility Institute. https://www.sustainability.com/globalassets/sustainability.com/thinking/pdfs/sa-ratetheraters_ratings-revisited_march18.pdf</w:t>
      </w:r>
    </w:p>
    <w:p w14:paraId="4627AC28" w14:textId="77777777" w:rsidR="00271D25" w:rsidRDefault="00271D25" w:rsidP="00271D25">
      <w:pPr>
        <w:pStyle w:val="Irodalomjegyzk"/>
        <w:rPr>
          <w:rFonts w:ascii="Times New Roman" w:hAnsi="Times New Roman" w:cs="Times New Roman"/>
          <w:sz w:val="24"/>
          <w:szCs w:val="24"/>
        </w:rPr>
      </w:pPr>
      <w:r>
        <w:rPr>
          <w:rFonts w:ascii="Times New Roman" w:hAnsi="Times New Roman" w:cs="Times New Roman"/>
          <w:sz w:val="24"/>
          <w:szCs w:val="24"/>
        </w:rPr>
        <w:t xml:space="preserve">Wulf, I., Niemöller, J., &amp; Rentzsch, N. (2014). Development toward integrated reporting, and its impact on corporate governance: A two-dimensional approach to accounting with reference to the German two-tier system. </w:t>
      </w:r>
      <w:r>
        <w:rPr>
          <w:rFonts w:ascii="Times New Roman" w:hAnsi="Times New Roman" w:cs="Times New Roman"/>
          <w:i/>
          <w:iCs/>
          <w:sz w:val="24"/>
          <w:szCs w:val="24"/>
        </w:rPr>
        <w:t>Journal of Management Control</w:t>
      </w:r>
      <w:r>
        <w:rPr>
          <w:rFonts w:ascii="Times New Roman" w:hAnsi="Times New Roman" w:cs="Times New Roman"/>
          <w:sz w:val="24"/>
          <w:szCs w:val="24"/>
        </w:rPr>
        <w:t xml:space="preserve">, </w:t>
      </w:r>
      <w:r>
        <w:rPr>
          <w:rFonts w:ascii="Times New Roman" w:hAnsi="Times New Roman" w:cs="Times New Roman"/>
          <w:i/>
          <w:iCs/>
          <w:sz w:val="24"/>
          <w:szCs w:val="24"/>
        </w:rPr>
        <w:t>25</w:t>
      </w:r>
      <w:r>
        <w:rPr>
          <w:rFonts w:ascii="Times New Roman" w:hAnsi="Times New Roman" w:cs="Times New Roman"/>
          <w:sz w:val="24"/>
          <w:szCs w:val="24"/>
        </w:rPr>
        <w:t>(2), 135–164.</w:t>
      </w:r>
    </w:p>
    <w:p w14:paraId="4A0A5B1A" w14:textId="6F4B1C03" w:rsidR="008D3117" w:rsidRPr="007E723C" w:rsidRDefault="008D3117" w:rsidP="008D3117">
      <w:pPr>
        <w:spacing w:line="360" w:lineRule="auto"/>
        <w:jc w:val="both"/>
        <w:rPr>
          <w:rFonts w:ascii="Georgia" w:hAnsi="Georgia"/>
          <w:sz w:val="24"/>
          <w:szCs w:val="24"/>
        </w:rPr>
      </w:pPr>
      <w:r w:rsidRPr="007E723C">
        <w:rPr>
          <w:rFonts w:ascii="Georgia" w:hAnsi="Georgia" w:cs="Times New Roman"/>
          <w:sz w:val="24"/>
          <w:szCs w:val="24"/>
        </w:rPr>
        <w:fldChar w:fldCharType="end"/>
      </w:r>
    </w:p>
    <w:p w14:paraId="74EE673B" w14:textId="57609E31" w:rsidR="001407E3" w:rsidRPr="007E723C" w:rsidRDefault="001407E3">
      <w:pPr>
        <w:rPr>
          <w:rFonts w:ascii="Georgia" w:hAnsi="Georgia"/>
          <w:sz w:val="24"/>
          <w:szCs w:val="24"/>
        </w:rPr>
      </w:pPr>
      <w:r w:rsidRPr="007E723C">
        <w:rPr>
          <w:rFonts w:ascii="Georgia" w:hAnsi="Georgia"/>
          <w:sz w:val="24"/>
          <w:szCs w:val="24"/>
        </w:rPr>
        <w:br w:type="page"/>
      </w:r>
    </w:p>
    <w:p w14:paraId="5A71BE24" w14:textId="154D3CB3" w:rsidR="004138C6" w:rsidRPr="002D21F3" w:rsidRDefault="001407E3" w:rsidP="002D21F3">
      <w:pPr>
        <w:pStyle w:val="Cmsor1"/>
        <w:numPr>
          <w:ilvl w:val="0"/>
          <w:numId w:val="1"/>
        </w:numPr>
        <w:spacing w:after="240" w:line="360" w:lineRule="auto"/>
        <w:ind w:left="431" w:hanging="431"/>
        <w:jc w:val="both"/>
        <w:rPr>
          <w:rFonts w:ascii="Georgia" w:hAnsi="Georgia" w:cs="Times New Roman"/>
          <w:b/>
          <w:bCs/>
          <w:color w:val="auto"/>
          <w:sz w:val="28"/>
          <w:szCs w:val="28"/>
        </w:rPr>
      </w:pPr>
      <w:bookmarkStart w:id="70" w:name="_Toc119421198"/>
      <w:r w:rsidRPr="002D21F3">
        <w:rPr>
          <w:rFonts w:ascii="Georgia" w:hAnsi="Georgia" w:cs="Times New Roman"/>
          <w:b/>
          <w:bCs/>
          <w:color w:val="auto"/>
          <w:sz w:val="28"/>
          <w:szCs w:val="28"/>
        </w:rPr>
        <w:lastRenderedPageBreak/>
        <w:t>MELLÉKLETEK</w:t>
      </w:r>
      <w:bookmarkEnd w:id="70"/>
    </w:p>
    <w:p w14:paraId="5E6CC13E" w14:textId="5FB4E265" w:rsidR="004138C6" w:rsidRDefault="004138C6" w:rsidP="00FF7AC9">
      <w:pPr>
        <w:pStyle w:val="Listaszerbekezds"/>
        <w:numPr>
          <w:ilvl w:val="0"/>
          <w:numId w:val="6"/>
        </w:numPr>
        <w:spacing w:after="120"/>
        <w:rPr>
          <w:rFonts w:ascii="Georgia" w:hAnsi="Georgia" w:cs="Times New Roman"/>
          <w:b/>
          <w:bCs/>
          <w:sz w:val="24"/>
          <w:szCs w:val="24"/>
        </w:rPr>
      </w:pPr>
      <w:r w:rsidRPr="004138C6">
        <w:rPr>
          <w:rFonts w:ascii="Georgia" w:hAnsi="Georgia" w:cs="Times New Roman"/>
          <w:b/>
          <w:bCs/>
          <w:sz w:val="24"/>
          <w:szCs w:val="24"/>
        </w:rPr>
        <w:t xml:space="preserve">sz. melléklet – </w:t>
      </w:r>
      <w:r>
        <w:rPr>
          <w:rFonts w:ascii="Georgia" w:hAnsi="Georgia" w:cs="Times New Roman"/>
          <w:b/>
          <w:bCs/>
          <w:sz w:val="24"/>
          <w:szCs w:val="24"/>
        </w:rPr>
        <w:t>A mintában szereplő vállalatok főbb ismérvei</w:t>
      </w:r>
    </w:p>
    <w:p w14:paraId="366168F1" w14:textId="77777777" w:rsidR="004138C6" w:rsidRPr="004138C6" w:rsidRDefault="004138C6" w:rsidP="004138C6">
      <w:pPr>
        <w:pStyle w:val="Listaszerbekezds"/>
        <w:spacing w:after="120"/>
        <w:ind w:left="717"/>
        <w:rPr>
          <w:rFonts w:ascii="Georgia" w:hAnsi="Georgia" w:cs="Times New Roman"/>
          <w:b/>
          <w:bCs/>
          <w:sz w:val="24"/>
          <w:szCs w:val="24"/>
        </w:rPr>
      </w:pPr>
    </w:p>
    <w:p w14:paraId="58984ECE" w14:textId="065D2552" w:rsidR="004138C6" w:rsidRPr="00DB24F0" w:rsidRDefault="004138C6" w:rsidP="004138C6">
      <w:pPr>
        <w:spacing w:line="360" w:lineRule="auto"/>
        <w:jc w:val="both"/>
        <w:rPr>
          <w:rFonts w:ascii="Georgia" w:hAnsi="Georgia" w:cs="Times New Roman"/>
          <w:b/>
          <w:bCs/>
          <w:sz w:val="18"/>
          <w:szCs w:val="18"/>
        </w:rPr>
      </w:pPr>
      <w:r>
        <w:rPr>
          <w:rFonts w:ascii="Georgia" w:hAnsi="Georgia" w:cs="Times New Roman"/>
          <w:b/>
          <w:bCs/>
          <w:sz w:val="18"/>
          <w:szCs w:val="18"/>
        </w:rPr>
        <w:t>Alapanyagok</w:t>
      </w:r>
    </w:p>
    <w:tbl>
      <w:tblPr>
        <w:tblStyle w:val="Rcsostblzat"/>
        <w:tblW w:w="7275" w:type="dxa"/>
        <w:tblLook w:val="04A0" w:firstRow="1" w:lastRow="0" w:firstColumn="1" w:lastColumn="0" w:noHBand="0" w:noVBand="1"/>
      </w:tblPr>
      <w:tblGrid>
        <w:gridCol w:w="3453"/>
        <w:gridCol w:w="705"/>
        <w:gridCol w:w="1527"/>
        <w:gridCol w:w="1590"/>
      </w:tblGrid>
      <w:tr w:rsidR="001B5E8D" w:rsidRPr="00D64059" w14:paraId="5D1B0B51" w14:textId="77777777" w:rsidTr="001B5E8D">
        <w:tc>
          <w:tcPr>
            <w:tcW w:w="3453" w:type="dxa"/>
            <w:vAlign w:val="center"/>
          </w:tcPr>
          <w:p w14:paraId="356EE0FC" w14:textId="77777777" w:rsidR="001B5E8D" w:rsidRPr="00D64059" w:rsidRDefault="001B5E8D" w:rsidP="00A92C65">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79B9F7F3" w14:textId="77777777" w:rsidR="001B5E8D" w:rsidRPr="00D64059" w:rsidRDefault="001B5E8D" w:rsidP="00A92C65">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79DC0977" w14:textId="7613888B" w:rsidR="001B5E8D" w:rsidRPr="00D64059" w:rsidRDefault="001B5E8D" w:rsidP="00A92C65">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096404DB" w14:textId="77777777" w:rsidR="001B5E8D" w:rsidRPr="00D64059" w:rsidRDefault="001B5E8D" w:rsidP="00A92C65">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7CD389E7" w14:textId="77777777" w:rsidTr="001B5E8D">
        <w:tc>
          <w:tcPr>
            <w:tcW w:w="3453" w:type="dxa"/>
          </w:tcPr>
          <w:p w14:paraId="718E0062" w14:textId="6FA68267" w:rsidR="001B5E8D" w:rsidRPr="00D64059" w:rsidRDefault="001B5E8D" w:rsidP="00F3591D">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Shanxi Taigang Stainless Steel Co Ltd</w:t>
            </w:r>
            <w:r>
              <w:rPr>
                <w:rFonts w:ascii="Georgia" w:hAnsi="Georgia" w:cs="Times New Roman"/>
                <w:color w:val="000000"/>
                <w:sz w:val="16"/>
                <w:szCs w:val="16"/>
              </w:rPr>
              <w:t>*</w:t>
            </w:r>
          </w:p>
        </w:tc>
        <w:tc>
          <w:tcPr>
            <w:tcW w:w="705" w:type="dxa"/>
            <w:vAlign w:val="center"/>
          </w:tcPr>
          <w:p w14:paraId="6FB1A742" w14:textId="77777777" w:rsidR="001B5E8D" w:rsidRPr="00D64059" w:rsidRDefault="001B5E8D" w:rsidP="00F3591D">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51</w:t>
            </w:r>
          </w:p>
        </w:tc>
        <w:tc>
          <w:tcPr>
            <w:tcW w:w="1527" w:type="dxa"/>
          </w:tcPr>
          <w:p w14:paraId="4C7C6407" w14:textId="2089C791" w:rsidR="001B5E8D" w:rsidRPr="00F3591D" w:rsidRDefault="001B5E8D" w:rsidP="00F3591D">
            <w:pPr>
              <w:tabs>
                <w:tab w:val="left" w:pos="1560"/>
              </w:tabs>
              <w:spacing w:line="360" w:lineRule="auto"/>
              <w:jc w:val="center"/>
              <w:rPr>
                <w:rFonts w:ascii="Georgia" w:hAnsi="Georgia" w:cs="Times New Roman"/>
                <w:sz w:val="16"/>
                <w:szCs w:val="16"/>
              </w:rPr>
            </w:pPr>
            <w:r w:rsidRPr="00F3591D">
              <w:rPr>
                <w:rFonts w:ascii="Georgia" w:hAnsi="Georgia"/>
                <w:sz w:val="16"/>
                <w:szCs w:val="16"/>
              </w:rPr>
              <w:t xml:space="preserve"> 10 642 051 024 </w:t>
            </w:r>
          </w:p>
        </w:tc>
        <w:tc>
          <w:tcPr>
            <w:tcW w:w="1590" w:type="dxa"/>
          </w:tcPr>
          <w:p w14:paraId="5B162D45" w14:textId="7F3CDF6A" w:rsidR="001B5E8D" w:rsidRPr="00F3591D" w:rsidRDefault="001B5E8D" w:rsidP="00F3591D">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2BDE8293" w14:textId="77777777" w:rsidTr="001B5E8D">
        <w:tc>
          <w:tcPr>
            <w:tcW w:w="3453" w:type="dxa"/>
          </w:tcPr>
          <w:p w14:paraId="5A5E5AF4" w14:textId="77777777" w:rsidR="001B5E8D" w:rsidRPr="00D64059" w:rsidRDefault="001B5E8D" w:rsidP="00F3591D">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Osisko Mining Inc</w:t>
            </w:r>
          </w:p>
        </w:tc>
        <w:tc>
          <w:tcPr>
            <w:tcW w:w="705" w:type="dxa"/>
            <w:vAlign w:val="center"/>
          </w:tcPr>
          <w:p w14:paraId="70D41C2D" w14:textId="77777777" w:rsidR="001B5E8D" w:rsidRPr="00D64059" w:rsidRDefault="001B5E8D" w:rsidP="00F3591D">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45</w:t>
            </w:r>
          </w:p>
        </w:tc>
        <w:tc>
          <w:tcPr>
            <w:tcW w:w="1527" w:type="dxa"/>
          </w:tcPr>
          <w:p w14:paraId="73111108" w14:textId="4FB90213" w:rsidR="001B5E8D" w:rsidRPr="00F3591D" w:rsidRDefault="001B5E8D" w:rsidP="00F3591D">
            <w:pPr>
              <w:tabs>
                <w:tab w:val="left" w:pos="1560"/>
              </w:tabs>
              <w:spacing w:line="360" w:lineRule="auto"/>
              <w:jc w:val="center"/>
              <w:rPr>
                <w:rFonts w:ascii="Georgia" w:hAnsi="Georgia" w:cs="Times New Roman"/>
                <w:sz w:val="16"/>
                <w:szCs w:val="16"/>
              </w:rPr>
            </w:pPr>
            <w:r w:rsidRPr="00F3591D">
              <w:rPr>
                <w:rFonts w:ascii="Georgia" w:hAnsi="Georgia"/>
                <w:sz w:val="16"/>
                <w:szCs w:val="16"/>
              </w:rPr>
              <w:t xml:space="preserve"> 778 223 049 </w:t>
            </w:r>
          </w:p>
        </w:tc>
        <w:tc>
          <w:tcPr>
            <w:tcW w:w="1590" w:type="dxa"/>
          </w:tcPr>
          <w:p w14:paraId="70C760EE" w14:textId="28E738BC" w:rsidR="001B5E8D" w:rsidRPr="00F3591D" w:rsidRDefault="001B5E8D" w:rsidP="00F3591D">
            <w:pPr>
              <w:tabs>
                <w:tab w:val="left" w:pos="1560"/>
              </w:tabs>
              <w:spacing w:line="360" w:lineRule="auto"/>
              <w:jc w:val="center"/>
              <w:rPr>
                <w:rFonts w:ascii="Georgia" w:hAnsi="Georgia" w:cs="Times New Roman"/>
                <w:sz w:val="16"/>
                <w:szCs w:val="16"/>
              </w:rPr>
            </w:pPr>
            <w:r>
              <w:rPr>
                <w:rFonts w:ascii="Georgia" w:hAnsi="Georgia"/>
                <w:sz w:val="16"/>
                <w:szCs w:val="16"/>
              </w:rPr>
              <w:t>Amerika</w:t>
            </w:r>
          </w:p>
        </w:tc>
      </w:tr>
      <w:tr w:rsidR="001B5E8D" w:rsidRPr="00D64059" w14:paraId="232FE513" w14:textId="77777777" w:rsidTr="001B5E8D">
        <w:tc>
          <w:tcPr>
            <w:tcW w:w="3453" w:type="dxa"/>
          </w:tcPr>
          <w:p w14:paraId="1243FB7A" w14:textId="77777777" w:rsidR="001B5E8D" w:rsidRPr="00D64059" w:rsidRDefault="001B5E8D" w:rsidP="00F3591D">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Kingsgate Consolidated Ltd</w:t>
            </w:r>
          </w:p>
        </w:tc>
        <w:tc>
          <w:tcPr>
            <w:tcW w:w="705" w:type="dxa"/>
            <w:vAlign w:val="center"/>
          </w:tcPr>
          <w:p w14:paraId="55132207" w14:textId="77777777" w:rsidR="001B5E8D" w:rsidRPr="00D64059" w:rsidRDefault="001B5E8D" w:rsidP="00F3591D">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18</w:t>
            </w:r>
          </w:p>
        </w:tc>
        <w:tc>
          <w:tcPr>
            <w:tcW w:w="1527" w:type="dxa"/>
          </w:tcPr>
          <w:p w14:paraId="4C7F5DD6" w14:textId="6F257C4A" w:rsidR="001B5E8D" w:rsidRPr="00F3591D" w:rsidRDefault="001B5E8D" w:rsidP="00F3591D">
            <w:pPr>
              <w:tabs>
                <w:tab w:val="left" w:pos="1560"/>
              </w:tabs>
              <w:spacing w:line="360" w:lineRule="auto"/>
              <w:jc w:val="center"/>
              <w:rPr>
                <w:rFonts w:ascii="Georgia" w:hAnsi="Georgia" w:cs="Times New Roman"/>
                <w:sz w:val="16"/>
                <w:szCs w:val="16"/>
              </w:rPr>
            </w:pPr>
            <w:r w:rsidRPr="00F3591D">
              <w:rPr>
                <w:rFonts w:ascii="Georgia" w:hAnsi="Georgia"/>
                <w:sz w:val="16"/>
                <w:szCs w:val="16"/>
              </w:rPr>
              <w:t xml:space="preserve"> 33 506 287 </w:t>
            </w:r>
          </w:p>
        </w:tc>
        <w:tc>
          <w:tcPr>
            <w:tcW w:w="1590" w:type="dxa"/>
          </w:tcPr>
          <w:p w14:paraId="4D3FC9DC" w14:textId="49E6825D" w:rsidR="001B5E8D" w:rsidRPr="00F3591D" w:rsidRDefault="001B5E8D" w:rsidP="00F3591D">
            <w:pPr>
              <w:tabs>
                <w:tab w:val="left" w:pos="1560"/>
              </w:tabs>
              <w:spacing w:line="360" w:lineRule="auto"/>
              <w:jc w:val="center"/>
              <w:rPr>
                <w:rFonts w:ascii="Georgia" w:hAnsi="Georgia" w:cs="Times New Roman"/>
                <w:sz w:val="16"/>
                <w:szCs w:val="16"/>
              </w:rPr>
            </w:pPr>
            <w:r>
              <w:rPr>
                <w:rFonts w:ascii="Georgia" w:hAnsi="Georgia"/>
                <w:sz w:val="16"/>
                <w:szCs w:val="16"/>
              </w:rPr>
              <w:t>Óceánia</w:t>
            </w:r>
          </w:p>
        </w:tc>
      </w:tr>
      <w:tr w:rsidR="001B5E8D" w:rsidRPr="00D64059" w14:paraId="45C7E5CB" w14:textId="77777777" w:rsidTr="001B5E8D">
        <w:tc>
          <w:tcPr>
            <w:tcW w:w="3453" w:type="dxa"/>
          </w:tcPr>
          <w:p w14:paraId="7F73CFCF" w14:textId="74DA2410" w:rsidR="001B5E8D" w:rsidRPr="00D64059" w:rsidRDefault="001B5E8D" w:rsidP="00F3591D">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Nippon Shokubai Co Ltd</w:t>
            </w:r>
            <w:r>
              <w:rPr>
                <w:rFonts w:ascii="Georgia" w:hAnsi="Georgia" w:cs="Times New Roman"/>
                <w:color w:val="000000"/>
                <w:sz w:val="16"/>
                <w:szCs w:val="16"/>
              </w:rPr>
              <w:t>*</w:t>
            </w:r>
          </w:p>
        </w:tc>
        <w:tc>
          <w:tcPr>
            <w:tcW w:w="705" w:type="dxa"/>
            <w:vAlign w:val="center"/>
          </w:tcPr>
          <w:p w14:paraId="18F82419" w14:textId="77777777" w:rsidR="001B5E8D" w:rsidRPr="00D64059" w:rsidRDefault="001B5E8D" w:rsidP="00F3591D">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59</w:t>
            </w:r>
          </w:p>
        </w:tc>
        <w:tc>
          <w:tcPr>
            <w:tcW w:w="1527" w:type="dxa"/>
          </w:tcPr>
          <w:p w14:paraId="0DABC861" w14:textId="7ACA7998" w:rsidR="001B5E8D" w:rsidRPr="00F3591D" w:rsidRDefault="001B5E8D" w:rsidP="00F3591D">
            <w:pPr>
              <w:tabs>
                <w:tab w:val="left" w:pos="1560"/>
              </w:tabs>
              <w:spacing w:line="360" w:lineRule="auto"/>
              <w:jc w:val="center"/>
              <w:rPr>
                <w:rFonts w:ascii="Georgia" w:hAnsi="Georgia" w:cs="Times New Roman"/>
                <w:sz w:val="16"/>
                <w:szCs w:val="16"/>
              </w:rPr>
            </w:pPr>
            <w:r w:rsidRPr="00F3591D">
              <w:rPr>
                <w:rFonts w:ascii="Georgia" w:hAnsi="Georgia"/>
                <w:sz w:val="16"/>
                <w:szCs w:val="16"/>
              </w:rPr>
              <w:t xml:space="preserve"> 4 259 008 713 </w:t>
            </w:r>
          </w:p>
        </w:tc>
        <w:tc>
          <w:tcPr>
            <w:tcW w:w="1590" w:type="dxa"/>
          </w:tcPr>
          <w:p w14:paraId="1232E6AB" w14:textId="61145541" w:rsidR="001B5E8D" w:rsidRPr="00F3591D" w:rsidRDefault="001B5E8D" w:rsidP="00F3591D">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70AB68D5" w14:textId="77777777" w:rsidTr="001B5E8D">
        <w:tc>
          <w:tcPr>
            <w:tcW w:w="3453" w:type="dxa"/>
          </w:tcPr>
          <w:p w14:paraId="20C77504" w14:textId="77777777" w:rsidR="001B5E8D" w:rsidRPr="00D64059" w:rsidRDefault="001B5E8D" w:rsidP="00F3591D">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Minera Frisco SAB de CV</w:t>
            </w:r>
          </w:p>
        </w:tc>
        <w:tc>
          <w:tcPr>
            <w:tcW w:w="705" w:type="dxa"/>
            <w:vAlign w:val="center"/>
          </w:tcPr>
          <w:p w14:paraId="1EE0CCE2" w14:textId="77777777" w:rsidR="001B5E8D" w:rsidRPr="00D64059" w:rsidRDefault="001B5E8D" w:rsidP="00F3591D">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28</w:t>
            </w:r>
          </w:p>
        </w:tc>
        <w:tc>
          <w:tcPr>
            <w:tcW w:w="1527" w:type="dxa"/>
          </w:tcPr>
          <w:p w14:paraId="4F172845" w14:textId="73D45775" w:rsidR="001B5E8D" w:rsidRPr="00F3591D" w:rsidRDefault="001B5E8D" w:rsidP="00F3591D">
            <w:pPr>
              <w:tabs>
                <w:tab w:val="left" w:pos="1560"/>
              </w:tabs>
              <w:spacing w:line="360" w:lineRule="auto"/>
              <w:jc w:val="center"/>
              <w:rPr>
                <w:rFonts w:ascii="Georgia" w:hAnsi="Georgia" w:cs="Times New Roman"/>
                <w:sz w:val="16"/>
                <w:szCs w:val="16"/>
              </w:rPr>
            </w:pPr>
            <w:r w:rsidRPr="00F3591D">
              <w:rPr>
                <w:rFonts w:ascii="Georgia" w:hAnsi="Georgia"/>
                <w:sz w:val="16"/>
                <w:szCs w:val="16"/>
              </w:rPr>
              <w:t xml:space="preserve"> 2 037 002 977 </w:t>
            </w:r>
          </w:p>
        </w:tc>
        <w:tc>
          <w:tcPr>
            <w:tcW w:w="1590" w:type="dxa"/>
          </w:tcPr>
          <w:p w14:paraId="4670CE69" w14:textId="3CCFC5CE" w:rsidR="001B5E8D" w:rsidRPr="00F3591D" w:rsidRDefault="001B5E8D" w:rsidP="00F3591D">
            <w:pPr>
              <w:tabs>
                <w:tab w:val="left" w:pos="1560"/>
              </w:tabs>
              <w:spacing w:line="360" w:lineRule="auto"/>
              <w:jc w:val="center"/>
              <w:rPr>
                <w:rFonts w:ascii="Georgia" w:hAnsi="Georgia" w:cs="Times New Roman"/>
                <w:sz w:val="16"/>
                <w:szCs w:val="16"/>
              </w:rPr>
            </w:pPr>
            <w:r>
              <w:rPr>
                <w:rFonts w:ascii="Georgia" w:hAnsi="Georgia"/>
                <w:sz w:val="16"/>
                <w:szCs w:val="16"/>
              </w:rPr>
              <w:t>Amerika</w:t>
            </w:r>
          </w:p>
        </w:tc>
      </w:tr>
    </w:tbl>
    <w:p w14:paraId="52F2E55B" w14:textId="77777777" w:rsidR="004138C6" w:rsidRDefault="004138C6" w:rsidP="004138C6">
      <w:pPr>
        <w:spacing w:line="360" w:lineRule="auto"/>
        <w:jc w:val="both"/>
        <w:rPr>
          <w:rFonts w:ascii="Georgia" w:hAnsi="Georgia" w:cs="Times New Roman"/>
          <w:b/>
          <w:bCs/>
          <w:sz w:val="18"/>
          <w:szCs w:val="18"/>
        </w:rPr>
      </w:pPr>
    </w:p>
    <w:p w14:paraId="7AE1B9A6" w14:textId="2AFB65E8" w:rsidR="007F55FE" w:rsidRPr="004138C6" w:rsidRDefault="004138C6" w:rsidP="004138C6">
      <w:pPr>
        <w:spacing w:line="360" w:lineRule="auto"/>
        <w:jc w:val="both"/>
        <w:rPr>
          <w:rFonts w:ascii="Georgia" w:hAnsi="Georgia" w:cs="Times New Roman"/>
          <w:b/>
          <w:bCs/>
          <w:sz w:val="18"/>
          <w:szCs w:val="18"/>
        </w:rPr>
      </w:pPr>
      <w:r>
        <w:rPr>
          <w:rFonts w:ascii="Georgia" w:hAnsi="Georgia" w:cs="Times New Roman"/>
          <w:b/>
          <w:bCs/>
          <w:sz w:val="18"/>
          <w:szCs w:val="18"/>
        </w:rPr>
        <w:t>Ciklikus fogyasztási cikkek</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0E6145AE" w14:textId="77777777" w:rsidTr="001B5E8D">
        <w:tc>
          <w:tcPr>
            <w:tcW w:w="3453" w:type="dxa"/>
            <w:vAlign w:val="center"/>
          </w:tcPr>
          <w:p w14:paraId="409C0253"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3C120F15"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7E236D1E" w14:textId="111B56EA"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301E1D92"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34507CED" w14:textId="77777777" w:rsidTr="001B5E8D">
        <w:tc>
          <w:tcPr>
            <w:tcW w:w="3453" w:type="dxa"/>
          </w:tcPr>
          <w:p w14:paraId="44BADD4E" w14:textId="6AEF3EBC"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Tata Motors Ltd</w:t>
            </w:r>
            <w:r>
              <w:rPr>
                <w:rFonts w:ascii="Georgia" w:hAnsi="Georgia" w:cs="Times New Roman"/>
                <w:color w:val="000000"/>
                <w:sz w:val="16"/>
                <w:szCs w:val="16"/>
              </w:rPr>
              <w:t>*</w:t>
            </w:r>
          </w:p>
        </w:tc>
        <w:tc>
          <w:tcPr>
            <w:tcW w:w="705" w:type="dxa"/>
            <w:vAlign w:val="center"/>
          </w:tcPr>
          <w:p w14:paraId="4FC8E2E9"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83</w:t>
            </w:r>
          </w:p>
        </w:tc>
        <w:tc>
          <w:tcPr>
            <w:tcW w:w="1527" w:type="dxa"/>
          </w:tcPr>
          <w:p w14:paraId="23C0713F" w14:textId="4375EB9A"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 xml:space="preserve"> 43 559 134 614 </w:t>
            </w:r>
          </w:p>
        </w:tc>
        <w:tc>
          <w:tcPr>
            <w:tcW w:w="1590" w:type="dxa"/>
            <w:vAlign w:val="center"/>
          </w:tcPr>
          <w:p w14:paraId="28C54E10" w14:textId="0618B07F"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6C4CA295" w14:textId="77777777" w:rsidTr="001B5E8D">
        <w:tc>
          <w:tcPr>
            <w:tcW w:w="3453" w:type="dxa"/>
          </w:tcPr>
          <w:p w14:paraId="0ED56405" w14:textId="7746AE14"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Compagnie Financiere Richemont SA</w:t>
            </w:r>
            <w:r>
              <w:rPr>
                <w:rFonts w:ascii="Georgia" w:hAnsi="Georgia" w:cs="Times New Roman"/>
                <w:color w:val="000000"/>
                <w:sz w:val="16"/>
                <w:szCs w:val="16"/>
              </w:rPr>
              <w:t>*</w:t>
            </w:r>
          </w:p>
        </w:tc>
        <w:tc>
          <w:tcPr>
            <w:tcW w:w="705" w:type="dxa"/>
            <w:vAlign w:val="center"/>
          </w:tcPr>
          <w:p w14:paraId="2B6AD814"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70</w:t>
            </w:r>
          </w:p>
        </w:tc>
        <w:tc>
          <w:tcPr>
            <w:tcW w:w="1527" w:type="dxa"/>
          </w:tcPr>
          <w:p w14:paraId="675F0D44" w14:textId="1DDC557A"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 xml:space="preserve"> 27 614 178 081 </w:t>
            </w:r>
          </w:p>
        </w:tc>
        <w:tc>
          <w:tcPr>
            <w:tcW w:w="1590" w:type="dxa"/>
            <w:vAlign w:val="center"/>
          </w:tcPr>
          <w:p w14:paraId="448CE57C" w14:textId="7C37AFCE"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5252C9B6" w14:textId="77777777" w:rsidTr="001B5E8D">
        <w:tc>
          <w:tcPr>
            <w:tcW w:w="3453" w:type="dxa"/>
          </w:tcPr>
          <w:p w14:paraId="5306147B"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Basic Net SpA</w:t>
            </w:r>
          </w:p>
        </w:tc>
        <w:tc>
          <w:tcPr>
            <w:tcW w:w="705" w:type="dxa"/>
            <w:vAlign w:val="center"/>
          </w:tcPr>
          <w:p w14:paraId="2B4C9152"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35</w:t>
            </w:r>
          </w:p>
        </w:tc>
        <w:tc>
          <w:tcPr>
            <w:tcW w:w="1527" w:type="dxa"/>
          </w:tcPr>
          <w:p w14:paraId="60424916" w14:textId="28C7FDB1"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 xml:space="preserve"> 1 607 812 109 </w:t>
            </w:r>
          </w:p>
        </w:tc>
        <w:tc>
          <w:tcPr>
            <w:tcW w:w="1590" w:type="dxa"/>
            <w:vAlign w:val="center"/>
          </w:tcPr>
          <w:p w14:paraId="69FAB731" w14:textId="416AC3A0"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r w:rsidR="001B5E8D" w:rsidRPr="00D64059" w14:paraId="4ED26057" w14:textId="77777777" w:rsidTr="001B5E8D">
        <w:tc>
          <w:tcPr>
            <w:tcW w:w="3453" w:type="dxa"/>
          </w:tcPr>
          <w:p w14:paraId="4D112F12"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Anhui Xinhua Media Co Ltd</w:t>
            </w:r>
          </w:p>
        </w:tc>
        <w:tc>
          <w:tcPr>
            <w:tcW w:w="705" w:type="dxa"/>
            <w:vAlign w:val="center"/>
          </w:tcPr>
          <w:p w14:paraId="2747AB38"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28</w:t>
            </w:r>
          </w:p>
        </w:tc>
        <w:tc>
          <w:tcPr>
            <w:tcW w:w="1527" w:type="dxa"/>
          </w:tcPr>
          <w:p w14:paraId="6B8FA7C2" w14:textId="1B5C3702"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 xml:space="preserve"> 13 796 387 743 </w:t>
            </w:r>
          </w:p>
        </w:tc>
        <w:tc>
          <w:tcPr>
            <w:tcW w:w="1590" w:type="dxa"/>
          </w:tcPr>
          <w:p w14:paraId="0123A089" w14:textId="568DB3F0" w:rsidR="001B5E8D" w:rsidRPr="00D64059" w:rsidRDefault="001B5E8D" w:rsidP="00D13006">
            <w:pPr>
              <w:tabs>
                <w:tab w:val="left" w:pos="1560"/>
              </w:tabs>
              <w:spacing w:line="360" w:lineRule="auto"/>
              <w:jc w:val="center"/>
              <w:rPr>
                <w:rFonts w:ascii="Georgia" w:hAnsi="Georgia" w:cs="Times New Roman"/>
                <w:sz w:val="16"/>
                <w:szCs w:val="16"/>
              </w:rPr>
            </w:pPr>
            <w:r w:rsidRPr="007339B1">
              <w:rPr>
                <w:rFonts w:ascii="Georgia" w:hAnsi="Georgia" w:cs="Times New Roman"/>
                <w:sz w:val="16"/>
                <w:szCs w:val="16"/>
              </w:rPr>
              <w:t>Ázsia</w:t>
            </w:r>
          </w:p>
        </w:tc>
      </w:tr>
      <w:tr w:rsidR="001B5E8D" w:rsidRPr="00D64059" w14:paraId="127883C4" w14:textId="77777777" w:rsidTr="001B5E8D">
        <w:tc>
          <w:tcPr>
            <w:tcW w:w="3453" w:type="dxa"/>
          </w:tcPr>
          <w:p w14:paraId="77C6C8C3" w14:textId="6D9128E1"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Hangzhou Robam Appliances Co Ltd</w:t>
            </w:r>
            <w:r>
              <w:rPr>
                <w:rFonts w:ascii="Georgia" w:hAnsi="Georgia" w:cs="Times New Roman"/>
                <w:color w:val="000000"/>
                <w:sz w:val="16"/>
                <w:szCs w:val="16"/>
              </w:rPr>
              <w:t>*</w:t>
            </w:r>
          </w:p>
        </w:tc>
        <w:tc>
          <w:tcPr>
            <w:tcW w:w="705" w:type="dxa"/>
            <w:vAlign w:val="center"/>
          </w:tcPr>
          <w:p w14:paraId="2010E05F"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56</w:t>
            </w:r>
          </w:p>
        </w:tc>
        <w:tc>
          <w:tcPr>
            <w:tcW w:w="1527" w:type="dxa"/>
          </w:tcPr>
          <w:p w14:paraId="36FB643D" w14:textId="3BB71B0C"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 xml:space="preserve"> 2 319 538 057 </w:t>
            </w:r>
          </w:p>
        </w:tc>
        <w:tc>
          <w:tcPr>
            <w:tcW w:w="1590" w:type="dxa"/>
          </w:tcPr>
          <w:p w14:paraId="65413AC5" w14:textId="153CE25F" w:rsidR="001B5E8D" w:rsidRPr="00D64059" w:rsidRDefault="001B5E8D" w:rsidP="00D13006">
            <w:pPr>
              <w:tabs>
                <w:tab w:val="left" w:pos="1560"/>
              </w:tabs>
              <w:spacing w:line="360" w:lineRule="auto"/>
              <w:jc w:val="center"/>
              <w:rPr>
                <w:rFonts w:ascii="Georgia" w:hAnsi="Georgia" w:cs="Times New Roman"/>
                <w:sz w:val="16"/>
                <w:szCs w:val="16"/>
              </w:rPr>
            </w:pPr>
            <w:r w:rsidRPr="007339B1">
              <w:rPr>
                <w:rFonts w:ascii="Georgia" w:hAnsi="Georgia" w:cs="Times New Roman"/>
                <w:sz w:val="16"/>
                <w:szCs w:val="16"/>
              </w:rPr>
              <w:t>Ázsia</w:t>
            </w:r>
          </w:p>
        </w:tc>
      </w:tr>
    </w:tbl>
    <w:p w14:paraId="43178689" w14:textId="77777777" w:rsidR="004138C6" w:rsidRDefault="004138C6" w:rsidP="004138C6">
      <w:pPr>
        <w:spacing w:line="360" w:lineRule="auto"/>
        <w:jc w:val="both"/>
        <w:rPr>
          <w:rFonts w:ascii="Georgia" w:hAnsi="Georgia" w:cs="Times New Roman"/>
          <w:b/>
          <w:bCs/>
          <w:sz w:val="18"/>
          <w:szCs w:val="18"/>
        </w:rPr>
      </w:pPr>
    </w:p>
    <w:p w14:paraId="427973EA" w14:textId="0FCDA62D" w:rsidR="004138C6" w:rsidRPr="00DB24F0" w:rsidRDefault="004138C6" w:rsidP="004138C6">
      <w:pPr>
        <w:spacing w:line="360" w:lineRule="auto"/>
        <w:jc w:val="both"/>
        <w:rPr>
          <w:rFonts w:ascii="Georgia" w:hAnsi="Georgia" w:cs="Times New Roman"/>
          <w:b/>
          <w:bCs/>
          <w:sz w:val="18"/>
          <w:szCs w:val="18"/>
        </w:rPr>
      </w:pPr>
      <w:r>
        <w:rPr>
          <w:rFonts w:ascii="Georgia" w:hAnsi="Georgia" w:cs="Times New Roman"/>
          <w:b/>
          <w:bCs/>
          <w:sz w:val="18"/>
          <w:szCs w:val="18"/>
        </w:rPr>
        <w:t>Nem ciklikus fogyasztási cikkek</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3E1D614D" w14:textId="77777777" w:rsidTr="001B5E8D">
        <w:tc>
          <w:tcPr>
            <w:tcW w:w="3453" w:type="dxa"/>
            <w:vAlign w:val="center"/>
          </w:tcPr>
          <w:p w14:paraId="701AB6BD"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4BE1744F"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30B63A3C" w14:textId="42827145"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59E4EB22"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278FE6FB" w14:textId="77777777" w:rsidTr="001B5E8D">
        <w:tc>
          <w:tcPr>
            <w:tcW w:w="3453" w:type="dxa"/>
          </w:tcPr>
          <w:p w14:paraId="082A9AAC" w14:textId="031C2CCC"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L'Oreal SA</w:t>
            </w:r>
            <w:r>
              <w:rPr>
                <w:rFonts w:ascii="Georgia" w:hAnsi="Georgia" w:cs="Times New Roman"/>
                <w:color w:val="000000"/>
                <w:sz w:val="16"/>
                <w:szCs w:val="16"/>
              </w:rPr>
              <w:t>*</w:t>
            </w:r>
          </w:p>
        </w:tc>
        <w:tc>
          <w:tcPr>
            <w:tcW w:w="705" w:type="dxa"/>
            <w:vAlign w:val="center"/>
          </w:tcPr>
          <w:p w14:paraId="657C67D6"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83</w:t>
            </w:r>
          </w:p>
        </w:tc>
        <w:tc>
          <w:tcPr>
            <w:tcW w:w="1527" w:type="dxa"/>
            <w:vAlign w:val="bottom"/>
          </w:tcPr>
          <w:p w14:paraId="09A32F0A" w14:textId="52AD4C40"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48 897 755 951</w:t>
            </w:r>
          </w:p>
        </w:tc>
        <w:tc>
          <w:tcPr>
            <w:tcW w:w="1590" w:type="dxa"/>
            <w:vAlign w:val="center"/>
          </w:tcPr>
          <w:p w14:paraId="54504C67" w14:textId="3F8A8DB2"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r w:rsidR="001B5E8D" w:rsidRPr="00D64059" w14:paraId="354D4F3F" w14:textId="77777777" w:rsidTr="001B5E8D">
        <w:tc>
          <w:tcPr>
            <w:tcW w:w="3453" w:type="dxa"/>
          </w:tcPr>
          <w:p w14:paraId="569D03AC"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Vietnam Dairy Products JSC</w:t>
            </w:r>
          </w:p>
        </w:tc>
        <w:tc>
          <w:tcPr>
            <w:tcW w:w="705" w:type="dxa"/>
            <w:vAlign w:val="center"/>
          </w:tcPr>
          <w:p w14:paraId="60A2CB2D"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74</w:t>
            </w:r>
          </w:p>
        </w:tc>
        <w:tc>
          <w:tcPr>
            <w:tcW w:w="1527" w:type="dxa"/>
            <w:vAlign w:val="bottom"/>
          </w:tcPr>
          <w:p w14:paraId="63BF6111" w14:textId="5D53272A" w:rsidR="001B5E8D" w:rsidRPr="00D13006" w:rsidRDefault="001B5E8D" w:rsidP="00D13006">
            <w:pPr>
              <w:tabs>
                <w:tab w:val="left" w:pos="1560"/>
              </w:tabs>
              <w:spacing w:line="360" w:lineRule="auto"/>
              <w:jc w:val="center"/>
              <w:rPr>
                <w:rFonts w:ascii="Georgia" w:hAnsi="Georgia"/>
                <w:sz w:val="16"/>
                <w:szCs w:val="16"/>
              </w:rPr>
            </w:pPr>
            <w:r>
              <w:rPr>
                <w:rFonts w:ascii="Georgia" w:hAnsi="Georgia"/>
                <w:sz w:val="16"/>
                <w:szCs w:val="16"/>
              </w:rPr>
              <w:t>2</w:t>
            </w:r>
            <w:r w:rsidRPr="00D13006">
              <w:rPr>
                <w:rFonts w:ascii="Georgia" w:hAnsi="Georgia"/>
                <w:sz w:val="16"/>
                <w:szCs w:val="16"/>
              </w:rPr>
              <w:t xml:space="preserve"> 336 578 464</w:t>
            </w:r>
          </w:p>
        </w:tc>
        <w:tc>
          <w:tcPr>
            <w:tcW w:w="1590" w:type="dxa"/>
            <w:vAlign w:val="center"/>
          </w:tcPr>
          <w:p w14:paraId="3FFBADF4" w14:textId="5BC5045E"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3C6C07EA" w14:textId="77777777" w:rsidTr="001B5E8D">
        <w:tc>
          <w:tcPr>
            <w:tcW w:w="3453" w:type="dxa"/>
          </w:tcPr>
          <w:p w14:paraId="71E5E30C" w14:textId="7332E8DC"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Koninklijke Ahold Delhaize NV</w:t>
            </w:r>
            <w:r>
              <w:rPr>
                <w:rFonts w:ascii="Georgia" w:hAnsi="Georgia" w:cs="Times New Roman"/>
                <w:color w:val="000000"/>
                <w:sz w:val="16"/>
                <w:szCs w:val="16"/>
              </w:rPr>
              <w:t>*</w:t>
            </w:r>
          </w:p>
        </w:tc>
        <w:tc>
          <w:tcPr>
            <w:tcW w:w="705" w:type="dxa"/>
            <w:vAlign w:val="center"/>
          </w:tcPr>
          <w:p w14:paraId="1B444849"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80</w:t>
            </w:r>
          </w:p>
        </w:tc>
        <w:tc>
          <w:tcPr>
            <w:tcW w:w="1527" w:type="dxa"/>
            <w:vAlign w:val="bottom"/>
          </w:tcPr>
          <w:p w14:paraId="0018B7CB" w14:textId="5A125005"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51 965 532 137</w:t>
            </w:r>
          </w:p>
        </w:tc>
        <w:tc>
          <w:tcPr>
            <w:tcW w:w="1590" w:type="dxa"/>
            <w:vAlign w:val="center"/>
          </w:tcPr>
          <w:p w14:paraId="4F4F9DF8" w14:textId="0BEA88B0"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r w:rsidR="001B5E8D" w:rsidRPr="00D64059" w14:paraId="4EC53A81" w14:textId="77777777" w:rsidTr="001B5E8D">
        <w:tc>
          <w:tcPr>
            <w:tcW w:w="3453" w:type="dxa"/>
          </w:tcPr>
          <w:p w14:paraId="177874CD" w14:textId="664153A6"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CP All PCL</w:t>
            </w:r>
            <w:r>
              <w:rPr>
                <w:rFonts w:ascii="Georgia" w:hAnsi="Georgia" w:cs="Times New Roman"/>
                <w:color w:val="000000"/>
                <w:sz w:val="16"/>
                <w:szCs w:val="16"/>
              </w:rPr>
              <w:t>*</w:t>
            </w:r>
          </w:p>
        </w:tc>
        <w:tc>
          <w:tcPr>
            <w:tcW w:w="705" w:type="dxa"/>
            <w:vAlign w:val="center"/>
          </w:tcPr>
          <w:p w14:paraId="03259952"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63</w:t>
            </w:r>
          </w:p>
        </w:tc>
        <w:tc>
          <w:tcPr>
            <w:tcW w:w="1527" w:type="dxa"/>
            <w:vAlign w:val="bottom"/>
          </w:tcPr>
          <w:p w14:paraId="0747AE01" w14:textId="0B94C0E3"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28 043 712 441</w:t>
            </w:r>
          </w:p>
        </w:tc>
        <w:tc>
          <w:tcPr>
            <w:tcW w:w="1590" w:type="dxa"/>
          </w:tcPr>
          <w:p w14:paraId="63EB23B1" w14:textId="7812C4EA" w:rsidR="001B5E8D" w:rsidRPr="00D64059" w:rsidRDefault="001B5E8D" w:rsidP="00D13006">
            <w:pPr>
              <w:tabs>
                <w:tab w:val="left" w:pos="1560"/>
              </w:tabs>
              <w:spacing w:line="360" w:lineRule="auto"/>
              <w:jc w:val="center"/>
              <w:rPr>
                <w:rFonts w:ascii="Georgia" w:hAnsi="Georgia" w:cs="Times New Roman"/>
                <w:sz w:val="16"/>
                <w:szCs w:val="16"/>
              </w:rPr>
            </w:pPr>
            <w:r w:rsidRPr="00FF5836">
              <w:rPr>
                <w:rFonts w:ascii="Georgia" w:hAnsi="Georgia" w:cs="Times New Roman"/>
                <w:sz w:val="16"/>
                <w:szCs w:val="16"/>
              </w:rPr>
              <w:t>Ázsia</w:t>
            </w:r>
          </w:p>
        </w:tc>
      </w:tr>
      <w:tr w:rsidR="001B5E8D" w:rsidRPr="00D64059" w14:paraId="15688DC3" w14:textId="77777777" w:rsidTr="001B5E8D">
        <w:tc>
          <w:tcPr>
            <w:tcW w:w="3453" w:type="dxa"/>
          </w:tcPr>
          <w:p w14:paraId="7F6254B4"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Procter &amp; Gamble Hygiene and Health Care Ltd</w:t>
            </w:r>
          </w:p>
        </w:tc>
        <w:tc>
          <w:tcPr>
            <w:tcW w:w="705" w:type="dxa"/>
            <w:vAlign w:val="center"/>
          </w:tcPr>
          <w:p w14:paraId="7A588887"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39</w:t>
            </w:r>
          </w:p>
        </w:tc>
        <w:tc>
          <w:tcPr>
            <w:tcW w:w="1527" w:type="dxa"/>
            <w:vAlign w:val="bottom"/>
          </w:tcPr>
          <w:p w14:paraId="4A9BA533" w14:textId="64B87B9C" w:rsidR="001B5E8D" w:rsidRPr="00D13006" w:rsidRDefault="001B5E8D" w:rsidP="00D13006">
            <w:pPr>
              <w:tabs>
                <w:tab w:val="left" w:pos="1560"/>
              </w:tabs>
              <w:spacing w:line="360" w:lineRule="auto"/>
              <w:jc w:val="center"/>
              <w:rPr>
                <w:rFonts w:ascii="Georgia" w:hAnsi="Georgia"/>
                <w:sz w:val="16"/>
                <w:szCs w:val="16"/>
              </w:rPr>
            </w:pPr>
            <w:r w:rsidRPr="00D13006">
              <w:rPr>
                <w:rFonts w:ascii="Georgia" w:hAnsi="Georgia"/>
                <w:sz w:val="16"/>
                <w:szCs w:val="16"/>
              </w:rPr>
              <w:t>219 568 316</w:t>
            </w:r>
          </w:p>
        </w:tc>
        <w:tc>
          <w:tcPr>
            <w:tcW w:w="1590" w:type="dxa"/>
          </w:tcPr>
          <w:p w14:paraId="501D76EF" w14:textId="031940A5" w:rsidR="001B5E8D" w:rsidRPr="00D64059" w:rsidRDefault="001B5E8D" w:rsidP="00D13006">
            <w:pPr>
              <w:tabs>
                <w:tab w:val="left" w:pos="1560"/>
              </w:tabs>
              <w:spacing w:line="360" w:lineRule="auto"/>
              <w:jc w:val="center"/>
              <w:rPr>
                <w:rFonts w:ascii="Georgia" w:hAnsi="Georgia" w:cs="Times New Roman"/>
                <w:sz w:val="16"/>
                <w:szCs w:val="16"/>
              </w:rPr>
            </w:pPr>
            <w:r w:rsidRPr="00FF5836">
              <w:rPr>
                <w:rFonts w:ascii="Georgia" w:hAnsi="Georgia" w:cs="Times New Roman"/>
                <w:sz w:val="16"/>
                <w:szCs w:val="16"/>
              </w:rPr>
              <w:t>Ázsia</w:t>
            </w:r>
          </w:p>
        </w:tc>
      </w:tr>
    </w:tbl>
    <w:p w14:paraId="6F61DFC8" w14:textId="77777777" w:rsidR="004138C6" w:rsidRDefault="004138C6" w:rsidP="004138C6">
      <w:pPr>
        <w:spacing w:line="360" w:lineRule="auto"/>
        <w:jc w:val="both"/>
        <w:rPr>
          <w:rFonts w:ascii="Georgia" w:hAnsi="Georgia" w:cs="Times New Roman"/>
          <w:b/>
          <w:bCs/>
          <w:sz w:val="18"/>
          <w:szCs w:val="18"/>
        </w:rPr>
      </w:pPr>
    </w:p>
    <w:p w14:paraId="0202B04E" w14:textId="4D33420B" w:rsidR="004138C6" w:rsidRPr="00DB24F0" w:rsidRDefault="004138C6" w:rsidP="004138C6">
      <w:pPr>
        <w:spacing w:line="360" w:lineRule="auto"/>
        <w:jc w:val="both"/>
        <w:rPr>
          <w:rFonts w:ascii="Georgia" w:hAnsi="Georgia" w:cs="Times New Roman"/>
          <w:b/>
          <w:bCs/>
          <w:sz w:val="18"/>
          <w:szCs w:val="18"/>
        </w:rPr>
      </w:pPr>
      <w:r>
        <w:rPr>
          <w:rFonts w:ascii="Georgia" w:hAnsi="Georgia" w:cs="Times New Roman"/>
          <w:b/>
          <w:bCs/>
          <w:sz w:val="18"/>
          <w:szCs w:val="18"/>
        </w:rPr>
        <w:t>Energia</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5CD9C81F" w14:textId="77777777" w:rsidTr="001B5E8D">
        <w:tc>
          <w:tcPr>
            <w:tcW w:w="3453" w:type="dxa"/>
            <w:vAlign w:val="center"/>
          </w:tcPr>
          <w:p w14:paraId="65577CEA"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686004B5"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3C351807" w14:textId="533033E5"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5BE78B59"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358C20BD" w14:textId="77777777" w:rsidTr="001B5E8D">
        <w:tc>
          <w:tcPr>
            <w:tcW w:w="3453" w:type="dxa"/>
          </w:tcPr>
          <w:p w14:paraId="29DF3198"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FAR Ltd</w:t>
            </w:r>
          </w:p>
        </w:tc>
        <w:tc>
          <w:tcPr>
            <w:tcW w:w="705" w:type="dxa"/>
            <w:vAlign w:val="center"/>
          </w:tcPr>
          <w:p w14:paraId="727E5002"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24</w:t>
            </w:r>
          </w:p>
        </w:tc>
        <w:tc>
          <w:tcPr>
            <w:tcW w:w="1527" w:type="dxa"/>
            <w:vAlign w:val="bottom"/>
          </w:tcPr>
          <w:p w14:paraId="3E3F2B92" w14:textId="0280D78F" w:rsidR="001B5E8D" w:rsidRPr="00D13006" w:rsidRDefault="001B5E8D" w:rsidP="00DB24F0">
            <w:pPr>
              <w:tabs>
                <w:tab w:val="left" w:pos="1560"/>
              </w:tabs>
              <w:spacing w:line="360" w:lineRule="auto"/>
              <w:jc w:val="center"/>
              <w:rPr>
                <w:rFonts w:ascii="Georgia" w:hAnsi="Georgia"/>
                <w:sz w:val="16"/>
                <w:szCs w:val="16"/>
              </w:rPr>
            </w:pPr>
            <w:r w:rsidRPr="00D13006">
              <w:rPr>
                <w:rFonts w:ascii="Georgia" w:hAnsi="Georgia"/>
                <w:sz w:val="16"/>
                <w:szCs w:val="16"/>
              </w:rPr>
              <w:t>138 552 306</w:t>
            </w:r>
          </w:p>
        </w:tc>
        <w:tc>
          <w:tcPr>
            <w:tcW w:w="1590" w:type="dxa"/>
            <w:vAlign w:val="center"/>
          </w:tcPr>
          <w:p w14:paraId="18775888" w14:textId="68A170E1"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Óceánia</w:t>
            </w:r>
          </w:p>
        </w:tc>
      </w:tr>
      <w:tr w:rsidR="001B5E8D" w:rsidRPr="00D64059" w14:paraId="51261D02" w14:textId="77777777" w:rsidTr="001B5E8D">
        <w:tc>
          <w:tcPr>
            <w:tcW w:w="3453" w:type="dxa"/>
          </w:tcPr>
          <w:p w14:paraId="5BD0C980" w14:textId="110ACC03"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S-Oil Corp</w:t>
            </w:r>
            <w:r>
              <w:rPr>
                <w:rFonts w:ascii="Georgia" w:hAnsi="Georgia" w:cs="Times New Roman"/>
                <w:color w:val="000000"/>
                <w:sz w:val="16"/>
                <w:szCs w:val="16"/>
              </w:rPr>
              <w:t>*</w:t>
            </w:r>
          </w:p>
        </w:tc>
        <w:tc>
          <w:tcPr>
            <w:tcW w:w="705" w:type="dxa"/>
            <w:vAlign w:val="center"/>
          </w:tcPr>
          <w:p w14:paraId="73CF2158"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82</w:t>
            </w:r>
          </w:p>
        </w:tc>
        <w:tc>
          <w:tcPr>
            <w:tcW w:w="1527" w:type="dxa"/>
            <w:vAlign w:val="bottom"/>
          </w:tcPr>
          <w:p w14:paraId="4A98B210" w14:textId="23DA4259" w:rsidR="001B5E8D" w:rsidRPr="00D13006" w:rsidRDefault="001B5E8D" w:rsidP="00DB24F0">
            <w:pPr>
              <w:tabs>
                <w:tab w:val="left" w:pos="1560"/>
              </w:tabs>
              <w:spacing w:line="360" w:lineRule="auto"/>
              <w:jc w:val="center"/>
              <w:rPr>
                <w:rFonts w:ascii="Georgia" w:hAnsi="Georgia"/>
                <w:sz w:val="16"/>
                <w:szCs w:val="16"/>
              </w:rPr>
            </w:pPr>
            <w:r w:rsidRPr="00D13006">
              <w:rPr>
                <w:rFonts w:ascii="Georgia" w:hAnsi="Georgia"/>
                <w:sz w:val="16"/>
                <w:szCs w:val="16"/>
              </w:rPr>
              <w:t>15 735 576 114</w:t>
            </w:r>
          </w:p>
        </w:tc>
        <w:tc>
          <w:tcPr>
            <w:tcW w:w="1590" w:type="dxa"/>
            <w:vAlign w:val="center"/>
          </w:tcPr>
          <w:p w14:paraId="5EF3FC62" w14:textId="7AD1A253"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48DBBFE1" w14:textId="77777777" w:rsidTr="001B5E8D">
        <w:tc>
          <w:tcPr>
            <w:tcW w:w="3453" w:type="dxa"/>
          </w:tcPr>
          <w:p w14:paraId="3E33B4A9"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Hurricane Energy PLC</w:t>
            </w:r>
          </w:p>
        </w:tc>
        <w:tc>
          <w:tcPr>
            <w:tcW w:w="705" w:type="dxa"/>
            <w:vAlign w:val="center"/>
          </w:tcPr>
          <w:p w14:paraId="60A6968D"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38</w:t>
            </w:r>
          </w:p>
        </w:tc>
        <w:tc>
          <w:tcPr>
            <w:tcW w:w="1527" w:type="dxa"/>
            <w:vAlign w:val="bottom"/>
          </w:tcPr>
          <w:p w14:paraId="4F213F38" w14:textId="0730090F" w:rsidR="001B5E8D" w:rsidRPr="00D13006" w:rsidRDefault="001B5E8D" w:rsidP="00DB24F0">
            <w:pPr>
              <w:tabs>
                <w:tab w:val="left" w:pos="1560"/>
              </w:tabs>
              <w:spacing w:line="360" w:lineRule="auto"/>
              <w:jc w:val="center"/>
              <w:rPr>
                <w:rFonts w:ascii="Georgia" w:hAnsi="Georgia"/>
                <w:sz w:val="16"/>
                <w:szCs w:val="16"/>
              </w:rPr>
            </w:pPr>
            <w:r w:rsidRPr="00D13006">
              <w:rPr>
                <w:rFonts w:ascii="Georgia" w:hAnsi="Georgia"/>
                <w:sz w:val="16"/>
                <w:szCs w:val="16"/>
              </w:rPr>
              <w:t>5 504 234 000</w:t>
            </w:r>
          </w:p>
        </w:tc>
        <w:tc>
          <w:tcPr>
            <w:tcW w:w="1590" w:type="dxa"/>
            <w:vAlign w:val="center"/>
          </w:tcPr>
          <w:p w14:paraId="4983302B" w14:textId="14C60640" w:rsidR="001B5E8D" w:rsidRPr="00D64059" w:rsidRDefault="001B5E8D" w:rsidP="00D13006">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r w:rsidR="001B5E8D" w:rsidRPr="00D64059" w14:paraId="1BAE7FE2" w14:textId="77777777" w:rsidTr="001B5E8D">
        <w:tc>
          <w:tcPr>
            <w:tcW w:w="3453" w:type="dxa"/>
          </w:tcPr>
          <w:p w14:paraId="315D07E9" w14:textId="72C52AE0"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Xinyi Solar Holdings Ltd</w:t>
            </w:r>
            <w:r>
              <w:rPr>
                <w:rFonts w:ascii="Georgia" w:hAnsi="Georgia" w:cs="Times New Roman"/>
                <w:color w:val="000000"/>
                <w:sz w:val="16"/>
                <w:szCs w:val="16"/>
              </w:rPr>
              <w:t>*</w:t>
            </w:r>
          </w:p>
        </w:tc>
        <w:tc>
          <w:tcPr>
            <w:tcW w:w="705" w:type="dxa"/>
            <w:vAlign w:val="center"/>
          </w:tcPr>
          <w:p w14:paraId="59054212"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67</w:t>
            </w:r>
          </w:p>
        </w:tc>
        <w:tc>
          <w:tcPr>
            <w:tcW w:w="1527" w:type="dxa"/>
            <w:vAlign w:val="bottom"/>
          </w:tcPr>
          <w:p w14:paraId="44F676CE" w14:textId="58D83BD2" w:rsidR="001B5E8D" w:rsidRPr="00D13006" w:rsidRDefault="001B5E8D" w:rsidP="00DB24F0">
            <w:pPr>
              <w:tabs>
                <w:tab w:val="left" w:pos="1560"/>
              </w:tabs>
              <w:spacing w:line="360" w:lineRule="auto"/>
              <w:jc w:val="center"/>
              <w:rPr>
                <w:rFonts w:ascii="Georgia" w:hAnsi="Georgia"/>
                <w:sz w:val="16"/>
                <w:szCs w:val="16"/>
              </w:rPr>
            </w:pPr>
            <w:r w:rsidRPr="00D13006">
              <w:rPr>
                <w:rFonts w:ascii="Georgia" w:hAnsi="Georgia"/>
                <w:sz w:val="16"/>
                <w:szCs w:val="16"/>
              </w:rPr>
              <w:t>6 294 460 222</w:t>
            </w:r>
          </w:p>
        </w:tc>
        <w:tc>
          <w:tcPr>
            <w:tcW w:w="1590" w:type="dxa"/>
          </w:tcPr>
          <w:p w14:paraId="3E3894BA" w14:textId="732AF4DF" w:rsidR="001B5E8D" w:rsidRPr="00D64059" w:rsidRDefault="001B5E8D" w:rsidP="00D13006">
            <w:pPr>
              <w:tabs>
                <w:tab w:val="left" w:pos="1560"/>
              </w:tabs>
              <w:spacing w:line="360" w:lineRule="auto"/>
              <w:jc w:val="center"/>
              <w:rPr>
                <w:rFonts w:ascii="Georgia" w:hAnsi="Georgia" w:cs="Times New Roman"/>
                <w:sz w:val="16"/>
                <w:szCs w:val="16"/>
              </w:rPr>
            </w:pPr>
            <w:r w:rsidRPr="004804E3">
              <w:rPr>
                <w:rFonts w:ascii="Georgia" w:hAnsi="Georgia" w:cs="Times New Roman"/>
                <w:sz w:val="16"/>
                <w:szCs w:val="16"/>
              </w:rPr>
              <w:t>Ázsia</w:t>
            </w:r>
          </w:p>
        </w:tc>
      </w:tr>
      <w:tr w:rsidR="001B5E8D" w:rsidRPr="00D64059" w14:paraId="56FC5C99" w14:textId="77777777" w:rsidTr="001B5E8D">
        <w:tc>
          <w:tcPr>
            <w:tcW w:w="3453" w:type="dxa"/>
          </w:tcPr>
          <w:p w14:paraId="106CD28D" w14:textId="77777777" w:rsidR="001B5E8D" w:rsidRPr="00D64059" w:rsidRDefault="001B5E8D" w:rsidP="00D13006">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GCL System Integration Technology Co Ltd</w:t>
            </w:r>
          </w:p>
        </w:tc>
        <w:tc>
          <w:tcPr>
            <w:tcW w:w="705" w:type="dxa"/>
            <w:vAlign w:val="center"/>
          </w:tcPr>
          <w:p w14:paraId="39D62FB5" w14:textId="77777777" w:rsidR="001B5E8D" w:rsidRPr="00D64059" w:rsidRDefault="001B5E8D" w:rsidP="00D13006">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35</w:t>
            </w:r>
          </w:p>
        </w:tc>
        <w:tc>
          <w:tcPr>
            <w:tcW w:w="1527" w:type="dxa"/>
            <w:vAlign w:val="bottom"/>
          </w:tcPr>
          <w:p w14:paraId="0299B39A" w14:textId="7A7BCA0B" w:rsidR="001B5E8D" w:rsidRPr="00D13006" w:rsidRDefault="001B5E8D" w:rsidP="00DB24F0">
            <w:pPr>
              <w:tabs>
                <w:tab w:val="left" w:pos="1560"/>
              </w:tabs>
              <w:spacing w:line="360" w:lineRule="auto"/>
              <w:jc w:val="center"/>
              <w:rPr>
                <w:rFonts w:ascii="Georgia" w:hAnsi="Georgia"/>
                <w:sz w:val="16"/>
                <w:szCs w:val="16"/>
              </w:rPr>
            </w:pPr>
            <w:r w:rsidRPr="00D13006">
              <w:rPr>
                <w:rFonts w:ascii="Georgia" w:hAnsi="Georgia"/>
                <w:sz w:val="16"/>
                <w:szCs w:val="16"/>
              </w:rPr>
              <w:t>4 117 098 000</w:t>
            </w:r>
          </w:p>
        </w:tc>
        <w:tc>
          <w:tcPr>
            <w:tcW w:w="1590" w:type="dxa"/>
          </w:tcPr>
          <w:p w14:paraId="5D8BCB1F" w14:textId="5200F8BC" w:rsidR="001B5E8D" w:rsidRPr="00D64059" w:rsidRDefault="001B5E8D" w:rsidP="00D13006">
            <w:pPr>
              <w:tabs>
                <w:tab w:val="left" w:pos="1560"/>
              </w:tabs>
              <w:spacing w:line="360" w:lineRule="auto"/>
              <w:jc w:val="center"/>
              <w:rPr>
                <w:rFonts w:ascii="Georgia" w:hAnsi="Georgia" w:cs="Times New Roman"/>
                <w:sz w:val="16"/>
                <w:szCs w:val="16"/>
              </w:rPr>
            </w:pPr>
            <w:r w:rsidRPr="004804E3">
              <w:rPr>
                <w:rFonts w:ascii="Georgia" w:hAnsi="Georgia" w:cs="Times New Roman"/>
                <w:sz w:val="16"/>
                <w:szCs w:val="16"/>
              </w:rPr>
              <w:t>Ázsia</w:t>
            </w:r>
          </w:p>
        </w:tc>
      </w:tr>
    </w:tbl>
    <w:p w14:paraId="7C7C5D9D" w14:textId="6491B948" w:rsidR="004138C6" w:rsidRDefault="004138C6" w:rsidP="004138C6">
      <w:pPr>
        <w:spacing w:line="360" w:lineRule="auto"/>
        <w:jc w:val="both"/>
        <w:rPr>
          <w:rFonts w:ascii="Georgia" w:hAnsi="Georgia" w:cs="Times New Roman"/>
          <w:b/>
          <w:bCs/>
          <w:sz w:val="18"/>
          <w:szCs w:val="18"/>
        </w:rPr>
      </w:pPr>
    </w:p>
    <w:p w14:paraId="457DF7F1" w14:textId="0C9DAAE7" w:rsidR="004138C6" w:rsidRDefault="004138C6" w:rsidP="004138C6">
      <w:pPr>
        <w:spacing w:line="360" w:lineRule="auto"/>
        <w:jc w:val="both"/>
        <w:rPr>
          <w:rFonts w:ascii="Georgia" w:hAnsi="Georgia" w:cs="Times New Roman"/>
          <w:b/>
          <w:bCs/>
          <w:sz w:val="18"/>
          <w:szCs w:val="18"/>
        </w:rPr>
      </w:pPr>
    </w:p>
    <w:p w14:paraId="17B204EF" w14:textId="77777777" w:rsidR="004138C6" w:rsidRDefault="004138C6" w:rsidP="004138C6">
      <w:pPr>
        <w:spacing w:line="360" w:lineRule="auto"/>
        <w:jc w:val="both"/>
        <w:rPr>
          <w:rFonts w:ascii="Georgia" w:hAnsi="Georgia" w:cs="Times New Roman"/>
          <w:b/>
          <w:bCs/>
          <w:sz w:val="18"/>
          <w:szCs w:val="18"/>
        </w:rPr>
      </w:pPr>
    </w:p>
    <w:p w14:paraId="4E36F153" w14:textId="3A163BD8" w:rsidR="004138C6" w:rsidRPr="00DB24F0" w:rsidRDefault="004138C6" w:rsidP="004138C6">
      <w:pPr>
        <w:spacing w:line="360" w:lineRule="auto"/>
        <w:jc w:val="both"/>
        <w:rPr>
          <w:rFonts w:ascii="Georgia" w:hAnsi="Georgia" w:cs="Times New Roman"/>
          <w:b/>
          <w:bCs/>
          <w:sz w:val="18"/>
          <w:szCs w:val="18"/>
        </w:rPr>
      </w:pPr>
      <w:r>
        <w:rPr>
          <w:rFonts w:ascii="Georgia" w:hAnsi="Georgia" w:cs="Times New Roman"/>
          <w:b/>
          <w:bCs/>
          <w:sz w:val="18"/>
          <w:szCs w:val="18"/>
        </w:rPr>
        <w:lastRenderedPageBreak/>
        <w:t>Pénzügy</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68E0108C" w14:textId="77777777" w:rsidTr="001B5E8D">
        <w:tc>
          <w:tcPr>
            <w:tcW w:w="3453" w:type="dxa"/>
            <w:vAlign w:val="center"/>
          </w:tcPr>
          <w:p w14:paraId="08855317"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7DD14110"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7F9F3059" w14:textId="07A20FC0"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190ED3CD"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160D9D3D" w14:textId="77777777" w:rsidTr="001B5E8D">
        <w:tc>
          <w:tcPr>
            <w:tcW w:w="3453" w:type="dxa"/>
          </w:tcPr>
          <w:p w14:paraId="76E7CA16" w14:textId="2274B80A"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Abrdn PLC</w:t>
            </w:r>
            <w:r>
              <w:rPr>
                <w:rFonts w:ascii="Georgia" w:hAnsi="Georgia" w:cs="Times New Roman"/>
                <w:color w:val="000000"/>
                <w:sz w:val="16"/>
                <w:szCs w:val="16"/>
              </w:rPr>
              <w:t>*</w:t>
            </w:r>
          </w:p>
        </w:tc>
        <w:tc>
          <w:tcPr>
            <w:tcW w:w="705" w:type="dxa"/>
            <w:vAlign w:val="center"/>
          </w:tcPr>
          <w:p w14:paraId="3540982B"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85</w:t>
            </w:r>
          </w:p>
        </w:tc>
        <w:tc>
          <w:tcPr>
            <w:tcW w:w="1527" w:type="dxa"/>
            <w:vAlign w:val="bottom"/>
          </w:tcPr>
          <w:p w14:paraId="32AB8026" w14:textId="62B1CAF6"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15 447 473 449 </w:t>
            </w:r>
          </w:p>
        </w:tc>
        <w:tc>
          <w:tcPr>
            <w:tcW w:w="1590" w:type="dxa"/>
            <w:vAlign w:val="center"/>
          </w:tcPr>
          <w:p w14:paraId="786000DA" w14:textId="53B6541F"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r w:rsidR="001B5E8D" w:rsidRPr="00D64059" w14:paraId="74E44DE6" w14:textId="77777777" w:rsidTr="001B5E8D">
        <w:tc>
          <w:tcPr>
            <w:tcW w:w="3453" w:type="dxa"/>
          </w:tcPr>
          <w:p w14:paraId="2355F252" w14:textId="77777777"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UMB Financial Corp</w:t>
            </w:r>
          </w:p>
        </w:tc>
        <w:tc>
          <w:tcPr>
            <w:tcW w:w="705" w:type="dxa"/>
            <w:vAlign w:val="center"/>
          </w:tcPr>
          <w:p w14:paraId="333E005E"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53</w:t>
            </w:r>
          </w:p>
        </w:tc>
        <w:tc>
          <w:tcPr>
            <w:tcW w:w="1527" w:type="dxa"/>
            <w:vAlign w:val="bottom"/>
          </w:tcPr>
          <w:p w14:paraId="730CE6A2" w14:textId="3FC26B33"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42 693 484 000 </w:t>
            </w:r>
          </w:p>
        </w:tc>
        <w:tc>
          <w:tcPr>
            <w:tcW w:w="1590" w:type="dxa"/>
          </w:tcPr>
          <w:p w14:paraId="50F8D3DB" w14:textId="16BB5B3B" w:rsidR="001B5E8D" w:rsidRPr="00D64059" w:rsidRDefault="001B5E8D" w:rsidP="00DB24F0">
            <w:pPr>
              <w:tabs>
                <w:tab w:val="left" w:pos="1560"/>
              </w:tabs>
              <w:spacing w:line="360" w:lineRule="auto"/>
              <w:jc w:val="center"/>
              <w:rPr>
                <w:rFonts w:ascii="Georgia" w:hAnsi="Georgia" w:cs="Times New Roman"/>
                <w:sz w:val="16"/>
                <w:szCs w:val="16"/>
              </w:rPr>
            </w:pPr>
            <w:r w:rsidRPr="00770652">
              <w:rPr>
                <w:rFonts w:ascii="Georgia" w:hAnsi="Georgia"/>
                <w:sz w:val="16"/>
                <w:szCs w:val="16"/>
              </w:rPr>
              <w:t>Amerika</w:t>
            </w:r>
          </w:p>
        </w:tc>
      </w:tr>
      <w:tr w:rsidR="001B5E8D" w:rsidRPr="00D64059" w14:paraId="67C6A99E" w14:textId="77777777" w:rsidTr="001B5E8D">
        <w:tc>
          <w:tcPr>
            <w:tcW w:w="3453" w:type="dxa"/>
          </w:tcPr>
          <w:p w14:paraId="758D6C7C" w14:textId="777D7169"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Cboe Global Markets Inc</w:t>
            </w:r>
            <w:r>
              <w:rPr>
                <w:rFonts w:ascii="Georgia" w:hAnsi="Georgia" w:cs="Times New Roman"/>
                <w:color w:val="000000"/>
                <w:sz w:val="16"/>
                <w:szCs w:val="16"/>
              </w:rPr>
              <w:t>*</w:t>
            </w:r>
          </w:p>
        </w:tc>
        <w:tc>
          <w:tcPr>
            <w:tcW w:w="705" w:type="dxa"/>
            <w:vAlign w:val="center"/>
          </w:tcPr>
          <w:p w14:paraId="4D87BBAB"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53</w:t>
            </w:r>
          </w:p>
        </w:tc>
        <w:tc>
          <w:tcPr>
            <w:tcW w:w="1527" w:type="dxa"/>
            <w:vAlign w:val="bottom"/>
          </w:tcPr>
          <w:p w14:paraId="4A7FD77C" w14:textId="0E336715"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6 814 500 000 </w:t>
            </w:r>
          </w:p>
        </w:tc>
        <w:tc>
          <w:tcPr>
            <w:tcW w:w="1590" w:type="dxa"/>
          </w:tcPr>
          <w:p w14:paraId="257A817F" w14:textId="2CA79DF5" w:rsidR="001B5E8D" w:rsidRPr="00D64059" w:rsidRDefault="001B5E8D" w:rsidP="00DB24F0">
            <w:pPr>
              <w:tabs>
                <w:tab w:val="left" w:pos="1560"/>
              </w:tabs>
              <w:spacing w:line="360" w:lineRule="auto"/>
              <w:jc w:val="center"/>
              <w:rPr>
                <w:rFonts w:ascii="Georgia" w:hAnsi="Georgia" w:cs="Times New Roman"/>
                <w:sz w:val="16"/>
                <w:szCs w:val="16"/>
              </w:rPr>
            </w:pPr>
            <w:r w:rsidRPr="00770652">
              <w:rPr>
                <w:rFonts w:ascii="Georgia" w:hAnsi="Georgia"/>
                <w:sz w:val="16"/>
                <w:szCs w:val="16"/>
              </w:rPr>
              <w:t>Amerika</w:t>
            </w:r>
          </w:p>
        </w:tc>
      </w:tr>
      <w:tr w:rsidR="001B5E8D" w:rsidRPr="00D64059" w14:paraId="332EE2A4" w14:textId="77777777" w:rsidTr="001B5E8D">
        <w:tc>
          <w:tcPr>
            <w:tcW w:w="3453" w:type="dxa"/>
          </w:tcPr>
          <w:p w14:paraId="4B66135A" w14:textId="49D124CC"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BRP Group Inc</w:t>
            </w:r>
            <w:r>
              <w:rPr>
                <w:rFonts w:ascii="Georgia" w:hAnsi="Georgia" w:cs="Times New Roman"/>
                <w:color w:val="000000"/>
                <w:sz w:val="16"/>
                <w:szCs w:val="16"/>
              </w:rPr>
              <w:t>*</w:t>
            </w:r>
          </w:p>
        </w:tc>
        <w:tc>
          <w:tcPr>
            <w:tcW w:w="705" w:type="dxa"/>
            <w:vAlign w:val="center"/>
          </w:tcPr>
          <w:p w14:paraId="26012E53"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26</w:t>
            </w:r>
          </w:p>
        </w:tc>
        <w:tc>
          <w:tcPr>
            <w:tcW w:w="1527" w:type="dxa"/>
            <w:vAlign w:val="bottom"/>
          </w:tcPr>
          <w:p w14:paraId="3B9D0AA3" w14:textId="59C43262"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2 876 307 000 </w:t>
            </w:r>
          </w:p>
        </w:tc>
        <w:tc>
          <w:tcPr>
            <w:tcW w:w="1590" w:type="dxa"/>
          </w:tcPr>
          <w:p w14:paraId="12ADDE1E" w14:textId="35638A55" w:rsidR="001B5E8D" w:rsidRPr="00D64059" w:rsidRDefault="001B5E8D" w:rsidP="00DB24F0">
            <w:pPr>
              <w:tabs>
                <w:tab w:val="left" w:pos="1560"/>
              </w:tabs>
              <w:spacing w:line="360" w:lineRule="auto"/>
              <w:jc w:val="center"/>
              <w:rPr>
                <w:rFonts w:ascii="Georgia" w:hAnsi="Georgia" w:cs="Times New Roman"/>
                <w:sz w:val="16"/>
                <w:szCs w:val="16"/>
              </w:rPr>
            </w:pPr>
            <w:r w:rsidRPr="00770652">
              <w:rPr>
                <w:rFonts w:ascii="Georgia" w:hAnsi="Georgia"/>
                <w:sz w:val="16"/>
                <w:szCs w:val="16"/>
              </w:rPr>
              <w:t>Amerika</w:t>
            </w:r>
          </w:p>
        </w:tc>
      </w:tr>
      <w:tr w:rsidR="001B5E8D" w:rsidRPr="00D64059" w14:paraId="717568AB" w14:textId="77777777" w:rsidTr="001B5E8D">
        <w:tc>
          <w:tcPr>
            <w:tcW w:w="3453" w:type="dxa"/>
          </w:tcPr>
          <w:p w14:paraId="28B97AD5" w14:textId="77777777"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color w:val="000000"/>
                <w:sz w:val="16"/>
                <w:szCs w:val="16"/>
              </w:rPr>
              <w:t>Lemonade Inc</w:t>
            </w:r>
          </w:p>
        </w:tc>
        <w:tc>
          <w:tcPr>
            <w:tcW w:w="705" w:type="dxa"/>
            <w:vAlign w:val="center"/>
          </w:tcPr>
          <w:p w14:paraId="6EA9FB44"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26</w:t>
            </w:r>
          </w:p>
        </w:tc>
        <w:tc>
          <w:tcPr>
            <w:tcW w:w="1527" w:type="dxa"/>
            <w:vAlign w:val="bottom"/>
          </w:tcPr>
          <w:p w14:paraId="0AB4D6B4" w14:textId="56CDAC79"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1 510 500 000 </w:t>
            </w:r>
          </w:p>
        </w:tc>
        <w:tc>
          <w:tcPr>
            <w:tcW w:w="1590" w:type="dxa"/>
          </w:tcPr>
          <w:p w14:paraId="569D73EE" w14:textId="46BEBFE9" w:rsidR="001B5E8D" w:rsidRPr="00D64059" w:rsidRDefault="001B5E8D" w:rsidP="00DB24F0">
            <w:pPr>
              <w:tabs>
                <w:tab w:val="left" w:pos="1560"/>
              </w:tabs>
              <w:spacing w:line="360" w:lineRule="auto"/>
              <w:jc w:val="center"/>
              <w:rPr>
                <w:rFonts w:ascii="Georgia" w:hAnsi="Georgia" w:cs="Times New Roman"/>
                <w:sz w:val="16"/>
                <w:szCs w:val="16"/>
              </w:rPr>
            </w:pPr>
            <w:r w:rsidRPr="00770652">
              <w:rPr>
                <w:rFonts w:ascii="Georgia" w:hAnsi="Georgia"/>
                <w:sz w:val="16"/>
                <w:szCs w:val="16"/>
              </w:rPr>
              <w:t>Amerika</w:t>
            </w:r>
          </w:p>
        </w:tc>
      </w:tr>
    </w:tbl>
    <w:p w14:paraId="373C8347" w14:textId="77777777" w:rsidR="004138C6" w:rsidRDefault="004138C6" w:rsidP="004138C6">
      <w:pPr>
        <w:spacing w:line="360" w:lineRule="auto"/>
        <w:jc w:val="both"/>
        <w:rPr>
          <w:rFonts w:ascii="Georgia" w:hAnsi="Georgia" w:cs="Times New Roman"/>
          <w:b/>
          <w:bCs/>
          <w:sz w:val="18"/>
          <w:szCs w:val="18"/>
        </w:rPr>
      </w:pPr>
    </w:p>
    <w:p w14:paraId="49560CCB" w14:textId="23741453" w:rsidR="004138C6" w:rsidRPr="00DB24F0" w:rsidRDefault="004138C6" w:rsidP="004138C6">
      <w:pPr>
        <w:spacing w:line="360" w:lineRule="auto"/>
        <w:jc w:val="both"/>
        <w:rPr>
          <w:rFonts w:ascii="Georgia" w:hAnsi="Georgia" w:cs="Times New Roman"/>
          <w:b/>
          <w:bCs/>
          <w:sz w:val="18"/>
          <w:szCs w:val="18"/>
        </w:rPr>
      </w:pPr>
      <w:r>
        <w:rPr>
          <w:rFonts w:ascii="Georgia" w:hAnsi="Georgia" w:cs="Times New Roman"/>
          <w:b/>
          <w:bCs/>
          <w:sz w:val="18"/>
          <w:szCs w:val="18"/>
        </w:rPr>
        <w:t>Egészségügy</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57196D64" w14:textId="77777777" w:rsidTr="001B5E8D">
        <w:tc>
          <w:tcPr>
            <w:tcW w:w="3453" w:type="dxa"/>
            <w:vAlign w:val="center"/>
          </w:tcPr>
          <w:p w14:paraId="0EC9AAA0"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69A36B54"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28C44B06" w14:textId="76FA3D03"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0D7EDE0E"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729C6DA6" w14:textId="77777777" w:rsidTr="001B5E8D">
        <w:tc>
          <w:tcPr>
            <w:tcW w:w="3453" w:type="dxa"/>
          </w:tcPr>
          <w:p w14:paraId="058678E9" w14:textId="77777777"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sz w:val="16"/>
                <w:szCs w:val="16"/>
              </w:rPr>
              <w:t>Beijing Tongrentang Co Ltd</w:t>
            </w:r>
          </w:p>
        </w:tc>
        <w:tc>
          <w:tcPr>
            <w:tcW w:w="705" w:type="dxa"/>
            <w:vAlign w:val="center"/>
          </w:tcPr>
          <w:p w14:paraId="12D9457C"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46</w:t>
            </w:r>
          </w:p>
        </w:tc>
        <w:tc>
          <w:tcPr>
            <w:tcW w:w="1527" w:type="dxa"/>
          </w:tcPr>
          <w:p w14:paraId="49D8B9CD" w14:textId="37096E7E"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3 947 172 646 </w:t>
            </w:r>
          </w:p>
        </w:tc>
        <w:tc>
          <w:tcPr>
            <w:tcW w:w="1590" w:type="dxa"/>
            <w:vAlign w:val="center"/>
          </w:tcPr>
          <w:p w14:paraId="1A5CBBC6" w14:textId="2E9AB920"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r w:rsidR="001B5E8D" w:rsidRPr="00D64059" w14:paraId="7F8D5861" w14:textId="77777777" w:rsidTr="001B5E8D">
        <w:tc>
          <w:tcPr>
            <w:tcW w:w="3453" w:type="dxa"/>
          </w:tcPr>
          <w:p w14:paraId="76276785" w14:textId="59F93E20"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sz w:val="16"/>
                <w:szCs w:val="16"/>
              </w:rPr>
              <w:t>CSL Ltd</w:t>
            </w:r>
            <w:r>
              <w:rPr>
                <w:rFonts w:ascii="Georgia" w:hAnsi="Georgia" w:cs="Times New Roman"/>
                <w:sz w:val="16"/>
                <w:szCs w:val="16"/>
              </w:rPr>
              <w:t>*</w:t>
            </w:r>
          </w:p>
        </w:tc>
        <w:tc>
          <w:tcPr>
            <w:tcW w:w="705" w:type="dxa"/>
            <w:vAlign w:val="center"/>
          </w:tcPr>
          <w:p w14:paraId="60BB6103"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78</w:t>
            </w:r>
          </w:p>
        </w:tc>
        <w:tc>
          <w:tcPr>
            <w:tcW w:w="1527" w:type="dxa"/>
          </w:tcPr>
          <w:p w14:paraId="10C4443D" w14:textId="7FE0A758"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28 346 000 000 </w:t>
            </w:r>
          </w:p>
        </w:tc>
        <w:tc>
          <w:tcPr>
            <w:tcW w:w="1590" w:type="dxa"/>
            <w:vAlign w:val="center"/>
          </w:tcPr>
          <w:p w14:paraId="547AA15D" w14:textId="7912FDD9"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Óceánia</w:t>
            </w:r>
          </w:p>
        </w:tc>
      </w:tr>
      <w:tr w:rsidR="001B5E8D" w:rsidRPr="00D64059" w14:paraId="1749B9CB" w14:textId="77777777" w:rsidTr="001B5E8D">
        <w:tc>
          <w:tcPr>
            <w:tcW w:w="3453" w:type="dxa"/>
          </w:tcPr>
          <w:p w14:paraId="6C847B25" w14:textId="77777777"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sz w:val="16"/>
                <w:szCs w:val="16"/>
              </w:rPr>
              <w:t>CellaVision AB</w:t>
            </w:r>
          </w:p>
        </w:tc>
        <w:tc>
          <w:tcPr>
            <w:tcW w:w="705" w:type="dxa"/>
            <w:vAlign w:val="center"/>
          </w:tcPr>
          <w:p w14:paraId="317528AA"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50</w:t>
            </w:r>
          </w:p>
        </w:tc>
        <w:tc>
          <w:tcPr>
            <w:tcW w:w="1527" w:type="dxa"/>
          </w:tcPr>
          <w:p w14:paraId="4F460389" w14:textId="6880D76C"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91 292 592 </w:t>
            </w:r>
          </w:p>
        </w:tc>
        <w:tc>
          <w:tcPr>
            <w:tcW w:w="1590" w:type="dxa"/>
          </w:tcPr>
          <w:p w14:paraId="4C028233" w14:textId="05038F4E" w:rsidR="001B5E8D" w:rsidRPr="00D64059" w:rsidRDefault="001B5E8D" w:rsidP="00DB24F0">
            <w:pPr>
              <w:tabs>
                <w:tab w:val="left" w:pos="1560"/>
              </w:tabs>
              <w:spacing w:line="360" w:lineRule="auto"/>
              <w:jc w:val="center"/>
              <w:rPr>
                <w:rFonts w:ascii="Georgia" w:hAnsi="Georgia" w:cs="Times New Roman"/>
                <w:sz w:val="16"/>
                <w:szCs w:val="16"/>
              </w:rPr>
            </w:pPr>
            <w:r w:rsidRPr="00DC6889">
              <w:rPr>
                <w:rFonts w:ascii="Georgia" w:hAnsi="Georgia" w:cs="Times New Roman"/>
                <w:sz w:val="16"/>
                <w:szCs w:val="16"/>
              </w:rPr>
              <w:t>Európa</w:t>
            </w:r>
          </w:p>
        </w:tc>
      </w:tr>
      <w:tr w:rsidR="001B5E8D" w:rsidRPr="00D64059" w14:paraId="69A688A9" w14:textId="77777777" w:rsidTr="001B5E8D">
        <w:tc>
          <w:tcPr>
            <w:tcW w:w="3453" w:type="dxa"/>
          </w:tcPr>
          <w:p w14:paraId="02695D5E" w14:textId="77777777"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sz w:val="16"/>
                <w:szCs w:val="16"/>
              </w:rPr>
              <w:t>Orexo AB</w:t>
            </w:r>
          </w:p>
        </w:tc>
        <w:tc>
          <w:tcPr>
            <w:tcW w:w="705" w:type="dxa"/>
            <w:vAlign w:val="center"/>
          </w:tcPr>
          <w:p w14:paraId="1F2F909A"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55</w:t>
            </w:r>
          </w:p>
        </w:tc>
        <w:tc>
          <w:tcPr>
            <w:tcW w:w="1527" w:type="dxa"/>
          </w:tcPr>
          <w:p w14:paraId="5561B874" w14:textId="31D53F33"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140 908 487 </w:t>
            </w:r>
          </w:p>
        </w:tc>
        <w:tc>
          <w:tcPr>
            <w:tcW w:w="1590" w:type="dxa"/>
          </w:tcPr>
          <w:p w14:paraId="20EE1BA0" w14:textId="749D5AEE" w:rsidR="001B5E8D" w:rsidRPr="00D64059" w:rsidRDefault="001B5E8D" w:rsidP="00DB24F0">
            <w:pPr>
              <w:tabs>
                <w:tab w:val="left" w:pos="1560"/>
              </w:tabs>
              <w:spacing w:line="360" w:lineRule="auto"/>
              <w:jc w:val="center"/>
              <w:rPr>
                <w:rFonts w:ascii="Georgia" w:hAnsi="Georgia" w:cs="Times New Roman"/>
                <w:sz w:val="16"/>
                <w:szCs w:val="16"/>
              </w:rPr>
            </w:pPr>
            <w:r w:rsidRPr="00DC6889">
              <w:rPr>
                <w:rFonts w:ascii="Georgia" w:hAnsi="Georgia" w:cs="Times New Roman"/>
                <w:sz w:val="16"/>
                <w:szCs w:val="16"/>
              </w:rPr>
              <w:t>Európa</w:t>
            </w:r>
          </w:p>
        </w:tc>
      </w:tr>
      <w:tr w:rsidR="001B5E8D" w:rsidRPr="00D64059" w14:paraId="1E612C28" w14:textId="77777777" w:rsidTr="001B5E8D">
        <w:tc>
          <w:tcPr>
            <w:tcW w:w="3453" w:type="dxa"/>
          </w:tcPr>
          <w:p w14:paraId="34D5BCCC" w14:textId="77777777" w:rsidR="001B5E8D" w:rsidRPr="00D64059" w:rsidRDefault="001B5E8D" w:rsidP="00DB24F0">
            <w:pPr>
              <w:tabs>
                <w:tab w:val="left" w:pos="1560"/>
              </w:tabs>
              <w:jc w:val="both"/>
              <w:rPr>
                <w:rFonts w:ascii="Georgia" w:hAnsi="Georgia" w:cs="Times New Roman"/>
                <w:color w:val="000000"/>
                <w:sz w:val="16"/>
                <w:szCs w:val="16"/>
              </w:rPr>
            </w:pPr>
            <w:r w:rsidRPr="00D64059">
              <w:rPr>
                <w:rFonts w:ascii="Georgia" w:hAnsi="Georgia" w:cs="Times New Roman"/>
                <w:sz w:val="16"/>
                <w:szCs w:val="16"/>
              </w:rPr>
              <w:t>ScinoPharm Taiwan Ltd</w:t>
            </w:r>
          </w:p>
        </w:tc>
        <w:tc>
          <w:tcPr>
            <w:tcW w:w="705" w:type="dxa"/>
            <w:vAlign w:val="center"/>
          </w:tcPr>
          <w:p w14:paraId="06B8AC30"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49</w:t>
            </w:r>
          </w:p>
        </w:tc>
        <w:tc>
          <w:tcPr>
            <w:tcW w:w="1527" w:type="dxa"/>
          </w:tcPr>
          <w:p w14:paraId="58C970D5" w14:textId="5CE64FC2"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421 881 351 </w:t>
            </w:r>
          </w:p>
        </w:tc>
        <w:tc>
          <w:tcPr>
            <w:tcW w:w="1590" w:type="dxa"/>
            <w:vAlign w:val="center"/>
          </w:tcPr>
          <w:p w14:paraId="42FA7B83" w14:textId="00BCDFA3"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Ázsia</w:t>
            </w:r>
          </w:p>
        </w:tc>
      </w:tr>
    </w:tbl>
    <w:p w14:paraId="10E7ACA9" w14:textId="661666D0" w:rsidR="007F55FE" w:rsidRDefault="007F55FE" w:rsidP="007F55FE">
      <w:pPr>
        <w:spacing w:line="360" w:lineRule="auto"/>
        <w:jc w:val="both"/>
        <w:rPr>
          <w:rFonts w:ascii="Georgia" w:hAnsi="Georgia" w:cs="Times New Roman"/>
          <w:sz w:val="16"/>
          <w:szCs w:val="16"/>
        </w:rPr>
      </w:pPr>
    </w:p>
    <w:p w14:paraId="0A615F44" w14:textId="6F5274C1" w:rsidR="00DB24F0" w:rsidRPr="00DB24F0" w:rsidRDefault="004138C6" w:rsidP="00DB24F0">
      <w:pPr>
        <w:spacing w:line="360" w:lineRule="auto"/>
        <w:jc w:val="both"/>
        <w:rPr>
          <w:rFonts w:ascii="Georgia" w:hAnsi="Georgia" w:cs="Times New Roman"/>
          <w:b/>
          <w:bCs/>
          <w:sz w:val="18"/>
          <w:szCs w:val="18"/>
        </w:rPr>
      </w:pPr>
      <w:r>
        <w:rPr>
          <w:rFonts w:ascii="Georgia" w:hAnsi="Georgia" w:cs="Times New Roman"/>
          <w:b/>
          <w:bCs/>
          <w:sz w:val="18"/>
          <w:szCs w:val="18"/>
        </w:rPr>
        <w:t>Ipari termékek</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676C0387" w14:textId="77777777" w:rsidTr="001B5E8D">
        <w:tc>
          <w:tcPr>
            <w:tcW w:w="3453" w:type="dxa"/>
            <w:vAlign w:val="center"/>
          </w:tcPr>
          <w:p w14:paraId="22D796BA"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43BE346A"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1E6D07B1" w14:textId="387D8618"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57CCD09D"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54A274A8" w14:textId="77777777" w:rsidTr="001B5E8D">
        <w:tc>
          <w:tcPr>
            <w:tcW w:w="3453" w:type="dxa"/>
            <w:vAlign w:val="center"/>
          </w:tcPr>
          <w:p w14:paraId="35D052D8" w14:textId="593ED188"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sz w:val="16"/>
                <w:szCs w:val="16"/>
              </w:rPr>
              <w:t>Southwest Airlines Co</w:t>
            </w:r>
            <w:r>
              <w:rPr>
                <w:rFonts w:ascii="Georgia" w:hAnsi="Georgia" w:cs="Times New Roman"/>
                <w:sz w:val="16"/>
                <w:szCs w:val="16"/>
              </w:rPr>
              <w:t>*</w:t>
            </w:r>
          </w:p>
        </w:tc>
        <w:tc>
          <w:tcPr>
            <w:tcW w:w="705" w:type="dxa"/>
            <w:vAlign w:val="center"/>
          </w:tcPr>
          <w:p w14:paraId="14070B87"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68</w:t>
            </w:r>
          </w:p>
        </w:tc>
        <w:tc>
          <w:tcPr>
            <w:tcW w:w="1527" w:type="dxa"/>
          </w:tcPr>
          <w:p w14:paraId="7BCF9073" w14:textId="0BC6EFA9"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36 320 000 000 </w:t>
            </w:r>
          </w:p>
        </w:tc>
        <w:tc>
          <w:tcPr>
            <w:tcW w:w="1590" w:type="dxa"/>
            <w:vAlign w:val="center"/>
          </w:tcPr>
          <w:p w14:paraId="64E58815" w14:textId="1ED5301A"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sz w:val="16"/>
                <w:szCs w:val="16"/>
              </w:rPr>
              <w:t>Amerika</w:t>
            </w:r>
          </w:p>
        </w:tc>
      </w:tr>
      <w:tr w:rsidR="001B5E8D" w:rsidRPr="00D64059" w14:paraId="66A90E59" w14:textId="77777777" w:rsidTr="001B5E8D">
        <w:tc>
          <w:tcPr>
            <w:tcW w:w="3453" w:type="dxa"/>
            <w:vAlign w:val="center"/>
          </w:tcPr>
          <w:p w14:paraId="77622180" w14:textId="52E93FBB"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sz w:val="16"/>
                <w:szCs w:val="16"/>
              </w:rPr>
              <w:t>Transurban Group</w:t>
            </w:r>
            <w:r>
              <w:rPr>
                <w:rFonts w:ascii="Georgia" w:hAnsi="Georgia" w:cs="Times New Roman"/>
                <w:sz w:val="16"/>
                <w:szCs w:val="16"/>
              </w:rPr>
              <w:t>*</w:t>
            </w:r>
          </w:p>
        </w:tc>
        <w:tc>
          <w:tcPr>
            <w:tcW w:w="705" w:type="dxa"/>
            <w:vAlign w:val="center"/>
          </w:tcPr>
          <w:p w14:paraId="0AAC2EDA"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80</w:t>
            </w:r>
          </w:p>
        </w:tc>
        <w:tc>
          <w:tcPr>
            <w:tcW w:w="1527" w:type="dxa"/>
          </w:tcPr>
          <w:p w14:paraId="0A23007C" w14:textId="69E4DC1E"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26 889 660 265 </w:t>
            </w:r>
          </w:p>
        </w:tc>
        <w:tc>
          <w:tcPr>
            <w:tcW w:w="1590" w:type="dxa"/>
            <w:vAlign w:val="center"/>
          </w:tcPr>
          <w:p w14:paraId="7BD64885" w14:textId="5B40743C"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Óceánia</w:t>
            </w:r>
          </w:p>
        </w:tc>
      </w:tr>
      <w:tr w:rsidR="001B5E8D" w:rsidRPr="00D64059" w14:paraId="734AA09D" w14:textId="77777777" w:rsidTr="001B5E8D">
        <w:tc>
          <w:tcPr>
            <w:tcW w:w="3453" w:type="dxa"/>
            <w:vAlign w:val="center"/>
          </w:tcPr>
          <w:p w14:paraId="7E986C3B" w14:textId="3B6954DC"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sz w:val="16"/>
                <w:szCs w:val="16"/>
              </w:rPr>
              <w:t>WSP Global Inc</w:t>
            </w:r>
            <w:r>
              <w:rPr>
                <w:rFonts w:ascii="Georgia" w:hAnsi="Georgia" w:cs="Times New Roman"/>
                <w:sz w:val="16"/>
                <w:szCs w:val="16"/>
              </w:rPr>
              <w:t>*</w:t>
            </w:r>
          </w:p>
        </w:tc>
        <w:tc>
          <w:tcPr>
            <w:tcW w:w="705" w:type="dxa"/>
            <w:vAlign w:val="center"/>
          </w:tcPr>
          <w:p w14:paraId="387D15F6"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89</w:t>
            </w:r>
          </w:p>
        </w:tc>
        <w:tc>
          <w:tcPr>
            <w:tcW w:w="1527" w:type="dxa"/>
          </w:tcPr>
          <w:p w14:paraId="37B1E135" w14:textId="0BDD4DCF"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8 904 859 902 </w:t>
            </w:r>
          </w:p>
        </w:tc>
        <w:tc>
          <w:tcPr>
            <w:tcW w:w="1590" w:type="dxa"/>
            <w:vAlign w:val="center"/>
          </w:tcPr>
          <w:p w14:paraId="3E197FDA" w14:textId="73A322D8"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sz w:val="16"/>
                <w:szCs w:val="16"/>
              </w:rPr>
              <w:t>Amerika</w:t>
            </w:r>
          </w:p>
        </w:tc>
      </w:tr>
      <w:tr w:rsidR="001B5E8D" w:rsidRPr="00D64059" w14:paraId="7CEC4933" w14:textId="77777777" w:rsidTr="001B5E8D">
        <w:tc>
          <w:tcPr>
            <w:tcW w:w="3453" w:type="dxa"/>
            <w:vAlign w:val="center"/>
          </w:tcPr>
          <w:p w14:paraId="11009FBF" w14:textId="77777777"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sz w:val="16"/>
                <w:szCs w:val="16"/>
              </w:rPr>
              <w:t>Escorts Kubota Ltd</w:t>
            </w:r>
          </w:p>
        </w:tc>
        <w:tc>
          <w:tcPr>
            <w:tcW w:w="705" w:type="dxa"/>
            <w:vAlign w:val="center"/>
          </w:tcPr>
          <w:p w14:paraId="5FFD2DD6"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25</w:t>
            </w:r>
          </w:p>
        </w:tc>
        <w:tc>
          <w:tcPr>
            <w:tcW w:w="1527" w:type="dxa"/>
          </w:tcPr>
          <w:p w14:paraId="05963D69" w14:textId="43FEA8AF"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25 278 358 632 </w:t>
            </w:r>
          </w:p>
        </w:tc>
        <w:tc>
          <w:tcPr>
            <w:tcW w:w="1590" w:type="dxa"/>
          </w:tcPr>
          <w:p w14:paraId="6FBE91CD" w14:textId="279E1AC8" w:rsidR="001B5E8D" w:rsidRPr="00D64059" w:rsidRDefault="001B5E8D" w:rsidP="00DB24F0">
            <w:pPr>
              <w:tabs>
                <w:tab w:val="left" w:pos="1560"/>
              </w:tabs>
              <w:spacing w:line="360" w:lineRule="auto"/>
              <w:jc w:val="center"/>
              <w:rPr>
                <w:rFonts w:ascii="Georgia" w:hAnsi="Georgia" w:cs="Times New Roman"/>
                <w:sz w:val="16"/>
                <w:szCs w:val="16"/>
              </w:rPr>
            </w:pPr>
            <w:r w:rsidRPr="003033D9">
              <w:rPr>
                <w:rFonts w:ascii="Georgia" w:hAnsi="Georgia" w:cs="Times New Roman"/>
                <w:sz w:val="16"/>
                <w:szCs w:val="16"/>
              </w:rPr>
              <w:t>Ázsia</w:t>
            </w:r>
          </w:p>
        </w:tc>
      </w:tr>
      <w:tr w:rsidR="001B5E8D" w:rsidRPr="00D64059" w14:paraId="192D3981" w14:textId="77777777" w:rsidTr="001B5E8D">
        <w:tc>
          <w:tcPr>
            <w:tcW w:w="3453" w:type="dxa"/>
            <w:vAlign w:val="center"/>
          </w:tcPr>
          <w:p w14:paraId="0FC120BE" w14:textId="77777777"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sz w:val="16"/>
                <w:szCs w:val="16"/>
              </w:rPr>
              <w:t>NCC Ltd</w:t>
            </w:r>
          </w:p>
        </w:tc>
        <w:tc>
          <w:tcPr>
            <w:tcW w:w="705" w:type="dxa"/>
            <w:vAlign w:val="center"/>
          </w:tcPr>
          <w:p w14:paraId="7F11CC32"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23</w:t>
            </w:r>
          </w:p>
        </w:tc>
        <w:tc>
          <w:tcPr>
            <w:tcW w:w="1527" w:type="dxa"/>
          </w:tcPr>
          <w:p w14:paraId="192EF5F7" w14:textId="1B9A1B0B"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1 904 838 382 </w:t>
            </w:r>
          </w:p>
        </w:tc>
        <w:tc>
          <w:tcPr>
            <w:tcW w:w="1590" w:type="dxa"/>
          </w:tcPr>
          <w:p w14:paraId="399EB908" w14:textId="777633B5" w:rsidR="001B5E8D" w:rsidRPr="00D64059" w:rsidRDefault="001B5E8D" w:rsidP="00DB24F0">
            <w:pPr>
              <w:tabs>
                <w:tab w:val="left" w:pos="1560"/>
              </w:tabs>
              <w:spacing w:line="360" w:lineRule="auto"/>
              <w:jc w:val="center"/>
              <w:rPr>
                <w:rFonts w:ascii="Georgia" w:hAnsi="Georgia" w:cs="Times New Roman"/>
                <w:sz w:val="16"/>
                <w:szCs w:val="16"/>
              </w:rPr>
            </w:pPr>
            <w:r w:rsidRPr="003033D9">
              <w:rPr>
                <w:rFonts w:ascii="Georgia" w:hAnsi="Georgia" w:cs="Times New Roman"/>
                <w:sz w:val="16"/>
                <w:szCs w:val="16"/>
              </w:rPr>
              <w:t>Ázsia</w:t>
            </w:r>
          </w:p>
        </w:tc>
      </w:tr>
    </w:tbl>
    <w:p w14:paraId="7703DC48" w14:textId="61E5AEB7" w:rsidR="007F55FE" w:rsidRDefault="007F55FE" w:rsidP="007F55FE">
      <w:pPr>
        <w:spacing w:line="360" w:lineRule="auto"/>
        <w:jc w:val="both"/>
        <w:rPr>
          <w:rFonts w:ascii="Georgia" w:hAnsi="Georgia" w:cs="Times New Roman"/>
          <w:sz w:val="16"/>
          <w:szCs w:val="16"/>
        </w:rPr>
      </w:pPr>
    </w:p>
    <w:p w14:paraId="436C81B7" w14:textId="75054434" w:rsidR="00DB24F0" w:rsidRPr="00DB24F0" w:rsidRDefault="00DB24F0" w:rsidP="007F55FE">
      <w:pPr>
        <w:spacing w:line="360" w:lineRule="auto"/>
        <w:jc w:val="both"/>
        <w:rPr>
          <w:rFonts w:ascii="Georgia" w:hAnsi="Georgia" w:cs="Times New Roman"/>
          <w:b/>
          <w:bCs/>
          <w:sz w:val="18"/>
          <w:szCs w:val="18"/>
        </w:rPr>
      </w:pPr>
      <w:r w:rsidRPr="00DB24F0">
        <w:rPr>
          <w:rFonts w:ascii="Georgia" w:hAnsi="Georgia" w:cs="Times New Roman"/>
          <w:b/>
          <w:bCs/>
          <w:sz w:val="18"/>
          <w:szCs w:val="18"/>
        </w:rPr>
        <w:t>Techn</w:t>
      </w:r>
      <w:r>
        <w:rPr>
          <w:rFonts w:ascii="Georgia" w:hAnsi="Georgia" w:cs="Times New Roman"/>
          <w:b/>
          <w:bCs/>
          <w:sz w:val="18"/>
          <w:szCs w:val="18"/>
        </w:rPr>
        <w:t>o</w:t>
      </w:r>
      <w:r w:rsidRPr="00DB24F0">
        <w:rPr>
          <w:rFonts w:ascii="Georgia" w:hAnsi="Georgia" w:cs="Times New Roman"/>
          <w:b/>
          <w:bCs/>
          <w:sz w:val="18"/>
          <w:szCs w:val="18"/>
        </w:rPr>
        <w:t>lógia</w:t>
      </w:r>
    </w:p>
    <w:tbl>
      <w:tblPr>
        <w:tblStyle w:val="Rcsostblzat"/>
        <w:tblW w:w="7275" w:type="dxa"/>
        <w:tblInd w:w="-23" w:type="dxa"/>
        <w:tblLook w:val="04A0" w:firstRow="1" w:lastRow="0" w:firstColumn="1" w:lastColumn="0" w:noHBand="0" w:noVBand="1"/>
      </w:tblPr>
      <w:tblGrid>
        <w:gridCol w:w="3453"/>
        <w:gridCol w:w="705"/>
        <w:gridCol w:w="1527"/>
        <w:gridCol w:w="1590"/>
      </w:tblGrid>
      <w:tr w:rsidR="001B5E8D" w:rsidRPr="00D64059" w14:paraId="1E550CE7" w14:textId="77777777" w:rsidTr="001B5E8D">
        <w:tc>
          <w:tcPr>
            <w:tcW w:w="3453" w:type="dxa"/>
            <w:vAlign w:val="center"/>
          </w:tcPr>
          <w:p w14:paraId="6A26AEDD"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Vállalat</w:t>
            </w:r>
          </w:p>
        </w:tc>
        <w:tc>
          <w:tcPr>
            <w:tcW w:w="705" w:type="dxa"/>
            <w:vAlign w:val="center"/>
          </w:tcPr>
          <w:p w14:paraId="690F4619"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ESG</w:t>
            </w:r>
          </w:p>
        </w:tc>
        <w:tc>
          <w:tcPr>
            <w:tcW w:w="1527" w:type="dxa"/>
            <w:vAlign w:val="center"/>
          </w:tcPr>
          <w:p w14:paraId="69B1C102" w14:textId="4659649A"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Mérlegfőösszeg</w:t>
            </w:r>
            <w:r>
              <w:rPr>
                <w:rFonts w:ascii="Georgia" w:hAnsi="Georgia" w:cs="Times New Roman"/>
                <w:b/>
                <w:bCs/>
                <w:sz w:val="16"/>
                <w:szCs w:val="16"/>
              </w:rPr>
              <w:t xml:space="preserve"> ($)</w:t>
            </w:r>
          </w:p>
        </w:tc>
        <w:tc>
          <w:tcPr>
            <w:tcW w:w="1590" w:type="dxa"/>
            <w:vAlign w:val="center"/>
          </w:tcPr>
          <w:p w14:paraId="6346631C" w14:textId="77777777" w:rsidR="001B5E8D" w:rsidRPr="00D64059" w:rsidRDefault="001B5E8D" w:rsidP="00DB24F0">
            <w:pPr>
              <w:tabs>
                <w:tab w:val="left" w:pos="1560"/>
              </w:tabs>
              <w:spacing w:line="360" w:lineRule="auto"/>
              <w:jc w:val="center"/>
              <w:rPr>
                <w:rFonts w:ascii="Georgia" w:hAnsi="Georgia" w:cs="Times New Roman"/>
                <w:b/>
                <w:bCs/>
                <w:sz w:val="16"/>
                <w:szCs w:val="16"/>
              </w:rPr>
            </w:pPr>
            <w:r w:rsidRPr="00D64059">
              <w:rPr>
                <w:rFonts w:ascii="Georgia" w:hAnsi="Georgia" w:cs="Times New Roman"/>
                <w:b/>
                <w:bCs/>
                <w:sz w:val="16"/>
                <w:szCs w:val="16"/>
              </w:rPr>
              <w:t>Elhelyezkedés</w:t>
            </w:r>
          </w:p>
        </w:tc>
      </w:tr>
      <w:tr w:rsidR="001B5E8D" w:rsidRPr="00D64059" w14:paraId="1FD4D7EE" w14:textId="77777777" w:rsidTr="001B5E8D">
        <w:tc>
          <w:tcPr>
            <w:tcW w:w="3453" w:type="dxa"/>
            <w:vAlign w:val="center"/>
          </w:tcPr>
          <w:p w14:paraId="3FDCCAB1" w14:textId="23CAF017"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color w:val="000000"/>
                <w:sz w:val="16"/>
                <w:szCs w:val="16"/>
              </w:rPr>
              <w:t>Dassault Systemes SE</w:t>
            </w:r>
            <w:r>
              <w:rPr>
                <w:rFonts w:ascii="Georgia" w:hAnsi="Georgia" w:cs="Times New Roman"/>
                <w:color w:val="000000"/>
                <w:sz w:val="16"/>
                <w:szCs w:val="16"/>
              </w:rPr>
              <w:t>*</w:t>
            </w:r>
          </w:p>
        </w:tc>
        <w:tc>
          <w:tcPr>
            <w:tcW w:w="705" w:type="dxa"/>
            <w:vAlign w:val="center"/>
          </w:tcPr>
          <w:p w14:paraId="1458BACD"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71</w:t>
            </w:r>
          </w:p>
        </w:tc>
        <w:tc>
          <w:tcPr>
            <w:tcW w:w="1527" w:type="dxa"/>
          </w:tcPr>
          <w:p w14:paraId="2CC105DB" w14:textId="06B72A9B"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16 163 858 764 </w:t>
            </w:r>
          </w:p>
        </w:tc>
        <w:tc>
          <w:tcPr>
            <w:tcW w:w="1590" w:type="dxa"/>
            <w:vAlign w:val="bottom"/>
          </w:tcPr>
          <w:p w14:paraId="040A7270" w14:textId="3187D0B2"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r w:rsidR="001B5E8D" w:rsidRPr="00D64059" w14:paraId="750B1C00" w14:textId="77777777" w:rsidTr="001B5E8D">
        <w:tc>
          <w:tcPr>
            <w:tcW w:w="3453" w:type="dxa"/>
            <w:vAlign w:val="center"/>
          </w:tcPr>
          <w:p w14:paraId="436C8380" w14:textId="77777777"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color w:val="000000"/>
                <w:sz w:val="16"/>
                <w:szCs w:val="16"/>
              </w:rPr>
              <w:t>StarHub Ltd</w:t>
            </w:r>
          </w:p>
        </w:tc>
        <w:tc>
          <w:tcPr>
            <w:tcW w:w="705" w:type="dxa"/>
            <w:vAlign w:val="center"/>
          </w:tcPr>
          <w:p w14:paraId="34FDAEA0"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68</w:t>
            </w:r>
          </w:p>
        </w:tc>
        <w:tc>
          <w:tcPr>
            <w:tcW w:w="1527" w:type="dxa"/>
          </w:tcPr>
          <w:p w14:paraId="249F44E1" w14:textId="3BEA32C8"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2 403 928 836 </w:t>
            </w:r>
          </w:p>
        </w:tc>
        <w:tc>
          <w:tcPr>
            <w:tcW w:w="1590" w:type="dxa"/>
            <w:vAlign w:val="bottom"/>
          </w:tcPr>
          <w:p w14:paraId="0D2239AB" w14:textId="68A061C3" w:rsidR="001B5E8D" w:rsidRPr="00D64059" w:rsidRDefault="001B5E8D" w:rsidP="00DB24F0">
            <w:pPr>
              <w:tabs>
                <w:tab w:val="left" w:pos="1560"/>
              </w:tabs>
              <w:spacing w:line="360" w:lineRule="auto"/>
              <w:jc w:val="center"/>
              <w:rPr>
                <w:rFonts w:ascii="Georgia" w:hAnsi="Georgia" w:cs="Times New Roman"/>
                <w:sz w:val="16"/>
                <w:szCs w:val="16"/>
              </w:rPr>
            </w:pPr>
            <w:r w:rsidRPr="00EC04A1">
              <w:rPr>
                <w:rFonts w:ascii="Georgia" w:hAnsi="Georgia" w:cs="Times New Roman"/>
                <w:sz w:val="16"/>
                <w:szCs w:val="16"/>
              </w:rPr>
              <w:t>Ázsia</w:t>
            </w:r>
          </w:p>
        </w:tc>
      </w:tr>
      <w:tr w:rsidR="001B5E8D" w:rsidRPr="00D64059" w14:paraId="00FF6EB7" w14:textId="77777777" w:rsidTr="001B5E8D">
        <w:tc>
          <w:tcPr>
            <w:tcW w:w="3453" w:type="dxa"/>
            <w:vAlign w:val="center"/>
          </w:tcPr>
          <w:p w14:paraId="463E25C2" w14:textId="213906EA"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color w:val="000000"/>
                <w:sz w:val="16"/>
                <w:szCs w:val="16"/>
              </w:rPr>
              <w:t>LG Electronics Inc</w:t>
            </w:r>
            <w:r>
              <w:rPr>
                <w:rFonts w:ascii="Georgia" w:hAnsi="Georgia" w:cs="Times New Roman"/>
                <w:color w:val="000000"/>
                <w:sz w:val="16"/>
                <w:szCs w:val="16"/>
              </w:rPr>
              <w:t>*</w:t>
            </w:r>
          </w:p>
        </w:tc>
        <w:tc>
          <w:tcPr>
            <w:tcW w:w="705" w:type="dxa"/>
            <w:vAlign w:val="center"/>
          </w:tcPr>
          <w:p w14:paraId="593B63C2"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88</w:t>
            </w:r>
          </w:p>
        </w:tc>
        <w:tc>
          <w:tcPr>
            <w:tcW w:w="1527" w:type="dxa"/>
          </w:tcPr>
          <w:p w14:paraId="796C3111" w14:textId="22AAFE85"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45 019 594 936 </w:t>
            </w:r>
          </w:p>
        </w:tc>
        <w:tc>
          <w:tcPr>
            <w:tcW w:w="1590" w:type="dxa"/>
            <w:vAlign w:val="bottom"/>
          </w:tcPr>
          <w:p w14:paraId="46A3479F" w14:textId="6BD35A62" w:rsidR="001B5E8D" w:rsidRPr="00D64059" w:rsidRDefault="001B5E8D" w:rsidP="00DB24F0">
            <w:pPr>
              <w:tabs>
                <w:tab w:val="left" w:pos="1560"/>
              </w:tabs>
              <w:spacing w:line="360" w:lineRule="auto"/>
              <w:jc w:val="center"/>
              <w:rPr>
                <w:rFonts w:ascii="Georgia" w:hAnsi="Georgia" w:cs="Times New Roman"/>
                <w:sz w:val="16"/>
                <w:szCs w:val="16"/>
              </w:rPr>
            </w:pPr>
            <w:r w:rsidRPr="00EC04A1">
              <w:rPr>
                <w:rFonts w:ascii="Georgia" w:hAnsi="Georgia" w:cs="Times New Roman"/>
                <w:sz w:val="16"/>
                <w:szCs w:val="16"/>
              </w:rPr>
              <w:t>Ázsia</w:t>
            </w:r>
          </w:p>
        </w:tc>
      </w:tr>
      <w:tr w:rsidR="001B5E8D" w:rsidRPr="00D64059" w14:paraId="38ADC9EC" w14:textId="77777777" w:rsidTr="001B5E8D">
        <w:tc>
          <w:tcPr>
            <w:tcW w:w="3453" w:type="dxa"/>
            <w:vAlign w:val="center"/>
          </w:tcPr>
          <w:p w14:paraId="62470EB0" w14:textId="6E75332C"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color w:val="000000"/>
                <w:sz w:val="16"/>
                <w:szCs w:val="16"/>
              </w:rPr>
              <w:t>Bezeq Israeli Telecommunication Corp Ltd</w:t>
            </w:r>
            <w:r>
              <w:rPr>
                <w:rFonts w:ascii="Georgia" w:hAnsi="Georgia" w:cs="Times New Roman"/>
                <w:color w:val="000000"/>
                <w:sz w:val="16"/>
                <w:szCs w:val="16"/>
              </w:rPr>
              <w:t>*</w:t>
            </w:r>
          </w:p>
        </w:tc>
        <w:tc>
          <w:tcPr>
            <w:tcW w:w="705" w:type="dxa"/>
            <w:vAlign w:val="center"/>
          </w:tcPr>
          <w:p w14:paraId="5B0B5638"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46</w:t>
            </w:r>
          </w:p>
        </w:tc>
        <w:tc>
          <w:tcPr>
            <w:tcW w:w="1527" w:type="dxa"/>
          </w:tcPr>
          <w:p w14:paraId="217479EF" w14:textId="14F30252"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4 488 034 271 </w:t>
            </w:r>
          </w:p>
        </w:tc>
        <w:tc>
          <w:tcPr>
            <w:tcW w:w="1590" w:type="dxa"/>
            <w:vAlign w:val="bottom"/>
          </w:tcPr>
          <w:p w14:paraId="0C767D33" w14:textId="263F4961" w:rsidR="001B5E8D" w:rsidRPr="00D64059" w:rsidRDefault="001B5E8D" w:rsidP="00DB24F0">
            <w:pPr>
              <w:tabs>
                <w:tab w:val="left" w:pos="1560"/>
              </w:tabs>
              <w:spacing w:line="360" w:lineRule="auto"/>
              <w:jc w:val="center"/>
              <w:rPr>
                <w:rFonts w:ascii="Georgia" w:hAnsi="Georgia" w:cs="Times New Roman"/>
                <w:sz w:val="16"/>
                <w:szCs w:val="16"/>
              </w:rPr>
            </w:pPr>
            <w:r w:rsidRPr="00EC04A1">
              <w:rPr>
                <w:rFonts w:ascii="Georgia" w:hAnsi="Georgia" w:cs="Times New Roman"/>
                <w:sz w:val="16"/>
                <w:szCs w:val="16"/>
              </w:rPr>
              <w:t>Ázsia</w:t>
            </w:r>
          </w:p>
        </w:tc>
      </w:tr>
      <w:tr w:rsidR="001B5E8D" w:rsidRPr="00D64059" w14:paraId="29C603BA" w14:textId="77777777" w:rsidTr="001B5E8D">
        <w:tc>
          <w:tcPr>
            <w:tcW w:w="3453" w:type="dxa"/>
            <w:vAlign w:val="center"/>
          </w:tcPr>
          <w:p w14:paraId="7E2825A4" w14:textId="77777777" w:rsidR="001B5E8D" w:rsidRPr="00D64059" w:rsidRDefault="001B5E8D" w:rsidP="00DB24F0">
            <w:pPr>
              <w:tabs>
                <w:tab w:val="left" w:pos="1560"/>
              </w:tabs>
              <w:rPr>
                <w:rFonts w:ascii="Georgia" w:hAnsi="Georgia" w:cs="Times New Roman"/>
                <w:sz w:val="16"/>
                <w:szCs w:val="16"/>
              </w:rPr>
            </w:pPr>
            <w:r w:rsidRPr="00D64059">
              <w:rPr>
                <w:rFonts w:ascii="Georgia" w:hAnsi="Georgia" w:cs="Times New Roman"/>
                <w:color w:val="000000"/>
                <w:sz w:val="16"/>
                <w:szCs w:val="16"/>
              </w:rPr>
              <w:t>Ascom Holding AG</w:t>
            </w:r>
          </w:p>
        </w:tc>
        <w:tc>
          <w:tcPr>
            <w:tcW w:w="705" w:type="dxa"/>
            <w:vAlign w:val="center"/>
          </w:tcPr>
          <w:p w14:paraId="65390CA5" w14:textId="77777777" w:rsidR="001B5E8D" w:rsidRPr="00D64059" w:rsidRDefault="001B5E8D" w:rsidP="00DB24F0">
            <w:pPr>
              <w:tabs>
                <w:tab w:val="left" w:pos="1560"/>
              </w:tabs>
              <w:spacing w:line="360" w:lineRule="auto"/>
              <w:jc w:val="center"/>
              <w:rPr>
                <w:rFonts w:ascii="Georgia" w:hAnsi="Georgia" w:cs="Times New Roman"/>
                <w:sz w:val="16"/>
                <w:szCs w:val="16"/>
              </w:rPr>
            </w:pPr>
            <w:r w:rsidRPr="00D64059">
              <w:rPr>
                <w:rFonts w:ascii="Georgia" w:hAnsi="Georgia" w:cs="Times New Roman"/>
                <w:sz w:val="16"/>
                <w:szCs w:val="16"/>
              </w:rPr>
              <w:t>58</w:t>
            </w:r>
          </w:p>
        </w:tc>
        <w:tc>
          <w:tcPr>
            <w:tcW w:w="1527" w:type="dxa"/>
          </w:tcPr>
          <w:p w14:paraId="1C3A646D" w14:textId="49ACBAA3" w:rsidR="001B5E8D" w:rsidRPr="00DB24F0" w:rsidRDefault="001B5E8D" w:rsidP="00DB24F0">
            <w:pPr>
              <w:tabs>
                <w:tab w:val="left" w:pos="1560"/>
              </w:tabs>
              <w:spacing w:line="360" w:lineRule="auto"/>
              <w:jc w:val="center"/>
              <w:rPr>
                <w:rFonts w:ascii="Georgia" w:hAnsi="Georgia"/>
                <w:sz w:val="16"/>
                <w:szCs w:val="16"/>
              </w:rPr>
            </w:pPr>
            <w:r w:rsidRPr="00DB24F0">
              <w:rPr>
                <w:rFonts w:ascii="Georgia" w:hAnsi="Georgia"/>
                <w:sz w:val="16"/>
                <w:szCs w:val="16"/>
              </w:rPr>
              <w:t xml:space="preserve"> 213 440 035 </w:t>
            </w:r>
          </w:p>
        </w:tc>
        <w:tc>
          <w:tcPr>
            <w:tcW w:w="1590" w:type="dxa"/>
            <w:vAlign w:val="bottom"/>
          </w:tcPr>
          <w:p w14:paraId="072B78CD" w14:textId="4BEB9DF9" w:rsidR="001B5E8D" w:rsidRPr="00D64059" w:rsidRDefault="001B5E8D" w:rsidP="00DB24F0">
            <w:pPr>
              <w:tabs>
                <w:tab w:val="left" w:pos="1560"/>
              </w:tabs>
              <w:spacing w:line="360" w:lineRule="auto"/>
              <w:jc w:val="center"/>
              <w:rPr>
                <w:rFonts w:ascii="Georgia" w:hAnsi="Georgia" w:cs="Times New Roman"/>
                <w:sz w:val="16"/>
                <w:szCs w:val="16"/>
              </w:rPr>
            </w:pPr>
            <w:r>
              <w:rPr>
                <w:rFonts w:ascii="Georgia" w:hAnsi="Georgia" w:cs="Times New Roman"/>
                <w:sz w:val="16"/>
                <w:szCs w:val="16"/>
              </w:rPr>
              <w:t>Európa</w:t>
            </w:r>
          </w:p>
        </w:tc>
      </w:tr>
    </w:tbl>
    <w:p w14:paraId="38CCCB6E" w14:textId="1DCF2A59" w:rsidR="00BD3F7A" w:rsidRDefault="00BD3F7A" w:rsidP="009C40B7">
      <w:pPr>
        <w:rPr>
          <w:rFonts w:ascii="Georgia" w:hAnsi="Georgia"/>
          <w:sz w:val="16"/>
          <w:szCs w:val="16"/>
        </w:rPr>
      </w:pPr>
    </w:p>
    <w:p w14:paraId="2F984B6F" w14:textId="0092B686" w:rsidR="00763605" w:rsidRDefault="00763605" w:rsidP="009C40B7">
      <w:pPr>
        <w:rPr>
          <w:rFonts w:ascii="Georgia" w:hAnsi="Georgia"/>
          <w:sz w:val="16"/>
          <w:szCs w:val="16"/>
        </w:rPr>
      </w:pPr>
    </w:p>
    <w:p w14:paraId="1770D3F3" w14:textId="5E7FDDA1" w:rsidR="00763605" w:rsidRDefault="00763605" w:rsidP="009C40B7">
      <w:pPr>
        <w:rPr>
          <w:rFonts w:ascii="Georgia" w:hAnsi="Georgia"/>
          <w:sz w:val="16"/>
          <w:szCs w:val="16"/>
        </w:rPr>
      </w:pPr>
    </w:p>
    <w:p w14:paraId="6A665259" w14:textId="72721538" w:rsidR="00763605" w:rsidRDefault="00763605" w:rsidP="009C40B7">
      <w:pPr>
        <w:rPr>
          <w:rFonts w:ascii="Georgia" w:hAnsi="Georgia"/>
          <w:sz w:val="16"/>
          <w:szCs w:val="16"/>
        </w:rPr>
      </w:pPr>
    </w:p>
    <w:p w14:paraId="1DA4ECF9" w14:textId="5B23C806" w:rsidR="00763605" w:rsidRDefault="00763605" w:rsidP="009C40B7">
      <w:pPr>
        <w:rPr>
          <w:rFonts w:ascii="Georgia" w:hAnsi="Georgia"/>
          <w:sz w:val="16"/>
          <w:szCs w:val="16"/>
        </w:rPr>
      </w:pPr>
    </w:p>
    <w:p w14:paraId="06BD7788" w14:textId="2D9F5EB8" w:rsidR="00763605" w:rsidRDefault="00763605" w:rsidP="009C40B7">
      <w:pPr>
        <w:rPr>
          <w:rFonts w:ascii="Georgia" w:hAnsi="Georgia"/>
          <w:sz w:val="16"/>
          <w:szCs w:val="16"/>
        </w:rPr>
      </w:pPr>
    </w:p>
    <w:p w14:paraId="5601892A" w14:textId="13F805AC" w:rsidR="00763605" w:rsidRDefault="00763605" w:rsidP="009C40B7">
      <w:pPr>
        <w:rPr>
          <w:rFonts w:ascii="Georgia" w:hAnsi="Georgia"/>
          <w:sz w:val="16"/>
          <w:szCs w:val="16"/>
        </w:rPr>
      </w:pPr>
    </w:p>
    <w:p w14:paraId="40E1498B" w14:textId="77777777" w:rsidR="00763605" w:rsidRPr="00763605" w:rsidRDefault="00763605" w:rsidP="00763605">
      <w:pPr>
        <w:spacing w:after="120"/>
        <w:rPr>
          <w:rFonts w:ascii="Georgia" w:hAnsi="Georgia" w:cs="Times New Roman"/>
          <w:b/>
          <w:bCs/>
          <w:sz w:val="24"/>
          <w:szCs w:val="24"/>
        </w:rPr>
      </w:pPr>
    </w:p>
    <w:p w14:paraId="3CEFA04A" w14:textId="518F0D55" w:rsidR="00FC27ED" w:rsidRDefault="00763605" w:rsidP="00FF7AC9">
      <w:pPr>
        <w:pStyle w:val="Listaszerbekezds"/>
        <w:numPr>
          <w:ilvl w:val="0"/>
          <w:numId w:val="6"/>
        </w:numPr>
        <w:spacing w:after="120"/>
        <w:ind w:left="357" w:firstLine="357"/>
        <w:rPr>
          <w:rFonts w:ascii="Georgia" w:hAnsi="Georgia" w:cs="Times New Roman"/>
          <w:b/>
          <w:bCs/>
          <w:sz w:val="24"/>
          <w:szCs w:val="24"/>
        </w:rPr>
      </w:pPr>
      <w:r w:rsidRPr="00FC27ED">
        <w:rPr>
          <w:rFonts w:ascii="Georgia" w:hAnsi="Georgia" w:cs="Times New Roman"/>
          <w:b/>
          <w:bCs/>
          <w:sz w:val="24"/>
          <w:szCs w:val="24"/>
        </w:rPr>
        <w:lastRenderedPageBreak/>
        <w:t>sz. melléklet – A korrelációvizsgálat eredményei</w:t>
      </w:r>
      <w:r w:rsidR="00FC27ED">
        <w:rPr>
          <w:rFonts w:ascii="Georgia" w:hAnsi="Georgia" w:cs="Times New Roman"/>
          <w:b/>
          <w:bCs/>
          <w:sz w:val="24"/>
          <w:szCs w:val="24"/>
        </w:rPr>
        <w:t xml:space="preserve"> az aggregált pontszámok szintjén</w:t>
      </w:r>
    </w:p>
    <w:p w14:paraId="7E5E0719" w14:textId="77777777" w:rsidR="00FC27ED" w:rsidRDefault="00FC27ED" w:rsidP="00FC27ED">
      <w:pPr>
        <w:spacing w:after="120"/>
        <w:rPr>
          <w:rFonts w:ascii="Georgia" w:hAnsi="Georgia" w:cs="Times New Roman"/>
          <w:b/>
          <w:bCs/>
          <w:sz w:val="24"/>
          <w:szCs w:val="24"/>
        </w:rPr>
      </w:pPr>
    </w:p>
    <w:p w14:paraId="48BC41E2" w14:textId="77777777" w:rsidR="00FC27ED" w:rsidRDefault="00FC27ED" w:rsidP="00FC27ED">
      <w:pPr>
        <w:spacing w:after="120"/>
        <w:rPr>
          <w:rFonts w:ascii="Georgia" w:hAnsi="Georgia" w:cs="Times New Roman"/>
          <w:b/>
          <w:bCs/>
          <w:sz w:val="24"/>
          <w:szCs w:val="24"/>
        </w:rPr>
      </w:pPr>
    </w:p>
    <w:p w14:paraId="793860ED" w14:textId="1B4A9A9A" w:rsidR="00FC27ED" w:rsidRDefault="00FC27ED" w:rsidP="00FF7AC9">
      <w:pPr>
        <w:pStyle w:val="Listaszerbekezds"/>
        <w:numPr>
          <w:ilvl w:val="0"/>
          <w:numId w:val="6"/>
        </w:numPr>
        <w:spacing w:after="120"/>
        <w:rPr>
          <w:rFonts w:ascii="Georgia" w:hAnsi="Georgia" w:cs="Times New Roman"/>
          <w:b/>
          <w:bCs/>
          <w:sz w:val="24"/>
          <w:szCs w:val="24"/>
        </w:rPr>
      </w:pPr>
      <w:r w:rsidRPr="00FC27ED">
        <w:rPr>
          <w:rFonts w:ascii="Georgia" w:hAnsi="Georgia" w:cs="Times New Roman"/>
          <w:b/>
          <w:bCs/>
          <w:sz w:val="24"/>
          <w:szCs w:val="24"/>
        </w:rPr>
        <w:t>sz. melléklet – A korrelációvizsgálat eredményei az ESG egyes dimenzió mentén</w:t>
      </w:r>
    </w:p>
    <w:p w14:paraId="283507C5" w14:textId="77777777" w:rsidR="0094138F" w:rsidRDefault="0094138F" w:rsidP="0094138F">
      <w:pPr>
        <w:spacing w:after="120"/>
        <w:rPr>
          <w:rFonts w:ascii="Georgia" w:hAnsi="Georgia" w:cs="Times New Roman"/>
          <w:sz w:val="24"/>
          <w:szCs w:val="24"/>
        </w:rPr>
      </w:pPr>
    </w:p>
    <w:p w14:paraId="1819B71A" w14:textId="77500FA5" w:rsidR="00FC27ED" w:rsidRPr="0094138F" w:rsidRDefault="0094138F" w:rsidP="0094138F">
      <w:pPr>
        <w:spacing w:after="120"/>
        <w:ind w:firstLine="357"/>
        <w:rPr>
          <w:rFonts w:ascii="Georgia" w:hAnsi="Georgia" w:cs="Times New Roman"/>
          <w:b/>
          <w:bCs/>
          <w:sz w:val="18"/>
          <w:szCs w:val="18"/>
        </w:rPr>
      </w:pPr>
      <w:r w:rsidRPr="0094138F">
        <w:rPr>
          <w:b/>
          <w:bCs/>
          <w:noProof/>
          <w:sz w:val="18"/>
          <w:szCs w:val="18"/>
          <w:lang w:eastAsia="hu-HU"/>
        </w:rPr>
        <w:drawing>
          <wp:anchor distT="0" distB="0" distL="114300" distR="114300" simplePos="0" relativeHeight="251705344" behindDoc="0" locked="0" layoutInCell="1" allowOverlap="1" wp14:anchorId="371A14F2" wp14:editId="32911F8C">
            <wp:simplePos x="0" y="0"/>
            <wp:positionH relativeFrom="page">
              <wp:posOffset>1573530</wp:posOffset>
            </wp:positionH>
            <wp:positionV relativeFrom="paragraph">
              <wp:posOffset>203200</wp:posOffset>
            </wp:positionV>
            <wp:extent cx="3898900" cy="141668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90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8F">
        <w:rPr>
          <w:rFonts w:ascii="Georgia" w:hAnsi="Georgia" w:cs="Times New Roman"/>
          <w:b/>
          <w:bCs/>
          <w:sz w:val="18"/>
          <w:szCs w:val="18"/>
        </w:rPr>
        <w:t>Környezeti</w:t>
      </w:r>
    </w:p>
    <w:p w14:paraId="50B95615" w14:textId="7EAE145C" w:rsidR="00FC27ED" w:rsidRDefault="00FC27ED" w:rsidP="00FC27ED">
      <w:pPr>
        <w:spacing w:after="120"/>
        <w:rPr>
          <w:rFonts w:ascii="Georgia" w:hAnsi="Georgia" w:cs="Times New Roman"/>
          <w:b/>
          <w:bCs/>
          <w:sz w:val="24"/>
          <w:szCs w:val="24"/>
        </w:rPr>
      </w:pPr>
    </w:p>
    <w:p w14:paraId="30DEE9DA" w14:textId="77777777" w:rsidR="00FC27ED" w:rsidRDefault="00FC27ED" w:rsidP="00FC27ED">
      <w:pPr>
        <w:spacing w:after="120"/>
        <w:rPr>
          <w:rFonts w:ascii="Georgia" w:hAnsi="Georgia" w:cs="Times New Roman"/>
          <w:b/>
          <w:bCs/>
          <w:sz w:val="24"/>
          <w:szCs w:val="24"/>
        </w:rPr>
      </w:pPr>
    </w:p>
    <w:p w14:paraId="02880228" w14:textId="77777777" w:rsidR="00FC27ED" w:rsidRDefault="00FC27ED" w:rsidP="00FC27ED">
      <w:pPr>
        <w:spacing w:after="120"/>
        <w:rPr>
          <w:rFonts w:ascii="Georgia" w:hAnsi="Georgia" w:cs="Times New Roman"/>
          <w:b/>
          <w:bCs/>
          <w:sz w:val="24"/>
          <w:szCs w:val="24"/>
        </w:rPr>
      </w:pPr>
    </w:p>
    <w:p w14:paraId="19487445" w14:textId="77777777" w:rsidR="00FC27ED" w:rsidRDefault="00FC27ED" w:rsidP="00FC27ED">
      <w:pPr>
        <w:spacing w:after="120"/>
        <w:rPr>
          <w:rFonts w:ascii="Georgia" w:hAnsi="Georgia" w:cs="Times New Roman"/>
          <w:b/>
          <w:bCs/>
          <w:sz w:val="24"/>
          <w:szCs w:val="24"/>
        </w:rPr>
      </w:pPr>
    </w:p>
    <w:p w14:paraId="41EDB762" w14:textId="77777777" w:rsidR="00FC27ED" w:rsidRDefault="00FC27ED" w:rsidP="00FC27ED">
      <w:pPr>
        <w:spacing w:after="120"/>
        <w:rPr>
          <w:rFonts w:ascii="Georgia" w:hAnsi="Georgia" w:cs="Times New Roman"/>
          <w:b/>
          <w:bCs/>
          <w:sz w:val="24"/>
          <w:szCs w:val="24"/>
        </w:rPr>
      </w:pPr>
    </w:p>
    <w:p w14:paraId="574853D1" w14:textId="77777777" w:rsidR="00FC27ED" w:rsidRDefault="00FC27ED" w:rsidP="00FC27ED">
      <w:pPr>
        <w:spacing w:after="120"/>
        <w:rPr>
          <w:rFonts w:ascii="Georgia" w:hAnsi="Georgia" w:cs="Times New Roman"/>
          <w:b/>
          <w:bCs/>
          <w:sz w:val="24"/>
          <w:szCs w:val="24"/>
        </w:rPr>
      </w:pPr>
    </w:p>
    <w:p w14:paraId="6403CB3A" w14:textId="7D8E25F0" w:rsidR="00FC27ED" w:rsidRPr="0094138F" w:rsidRDefault="0094138F" w:rsidP="0094138F">
      <w:pPr>
        <w:spacing w:after="120"/>
        <w:ind w:firstLine="397"/>
        <w:rPr>
          <w:rFonts w:ascii="Georgia" w:hAnsi="Georgia" w:cs="Times New Roman"/>
          <w:b/>
          <w:bCs/>
          <w:sz w:val="18"/>
          <w:szCs w:val="18"/>
        </w:rPr>
      </w:pPr>
      <w:r w:rsidRPr="0094138F">
        <w:rPr>
          <w:noProof/>
          <w:lang w:eastAsia="hu-HU"/>
        </w:rPr>
        <w:drawing>
          <wp:anchor distT="0" distB="0" distL="114300" distR="114300" simplePos="0" relativeHeight="251707392" behindDoc="1" locked="0" layoutInCell="1" allowOverlap="1" wp14:anchorId="6D49E1F6" wp14:editId="34C64DDF">
            <wp:simplePos x="0" y="0"/>
            <wp:positionH relativeFrom="margin">
              <wp:posOffset>674370</wp:posOffset>
            </wp:positionH>
            <wp:positionV relativeFrom="paragraph">
              <wp:posOffset>207010</wp:posOffset>
            </wp:positionV>
            <wp:extent cx="3898900" cy="1198880"/>
            <wp:effectExtent l="0" t="0" r="635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8F">
        <w:rPr>
          <w:rFonts w:ascii="Georgia" w:hAnsi="Georgia" w:cs="Times New Roman"/>
          <w:b/>
          <w:bCs/>
          <w:sz w:val="18"/>
          <w:szCs w:val="18"/>
        </w:rPr>
        <w:t>Társadalmi</w:t>
      </w:r>
    </w:p>
    <w:p w14:paraId="447EDC4F" w14:textId="107F4531" w:rsidR="00763605" w:rsidRDefault="00763605" w:rsidP="00FC27ED">
      <w:pPr>
        <w:spacing w:after="120"/>
        <w:rPr>
          <w:rFonts w:ascii="Georgia" w:hAnsi="Georgia" w:cs="Times New Roman"/>
          <w:b/>
          <w:bCs/>
          <w:sz w:val="24"/>
          <w:szCs w:val="24"/>
        </w:rPr>
      </w:pPr>
      <w:r w:rsidRPr="00C95EB7">
        <w:rPr>
          <w:noProof/>
          <w:lang w:eastAsia="hu-HU"/>
        </w:rPr>
        <w:drawing>
          <wp:anchor distT="0" distB="0" distL="114300" distR="114300" simplePos="0" relativeHeight="251703296" behindDoc="0" locked="0" layoutInCell="1" allowOverlap="1" wp14:anchorId="759E7E23" wp14:editId="15F75360">
            <wp:simplePos x="0" y="0"/>
            <wp:positionH relativeFrom="margin">
              <wp:posOffset>1270</wp:posOffset>
            </wp:positionH>
            <wp:positionV relativeFrom="margin">
              <wp:posOffset>483870</wp:posOffset>
            </wp:positionV>
            <wp:extent cx="5399405" cy="15640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8A794" w14:textId="52D0BD5E" w:rsidR="00FC27ED" w:rsidRPr="00FC27ED" w:rsidRDefault="00FC27ED" w:rsidP="00FC27ED">
      <w:pPr>
        <w:rPr>
          <w:rFonts w:ascii="Georgia" w:hAnsi="Georgia" w:cs="Times New Roman"/>
          <w:sz w:val="24"/>
          <w:szCs w:val="24"/>
        </w:rPr>
      </w:pPr>
    </w:p>
    <w:p w14:paraId="2CFD929F" w14:textId="16EE9E94" w:rsidR="00FC27ED" w:rsidRPr="00FC27ED" w:rsidRDefault="00FC27ED" w:rsidP="00FC27ED">
      <w:pPr>
        <w:rPr>
          <w:rFonts w:ascii="Georgia" w:hAnsi="Georgia" w:cs="Times New Roman"/>
          <w:sz w:val="24"/>
          <w:szCs w:val="24"/>
        </w:rPr>
      </w:pPr>
    </w:p>
    <w:p w14:paraId="5B464BD0" w14:textId="4AFB3D06" w:rsidR="00FC27ED" w:rsidRPr="00FC27ED" w:rsidRDefault="00FC27ED" w:rsidP="00FC27ED">
      <w:pPr>
        <w:rPr>
          <w:rFonts w:ascii="Georgia" w:hAnsi="Georgia" w:cs="Times New Roman"/>
          <w:sz w:val="24"/>
          <w:szCs w:val="24"/>
        </w:rPr>
      </w:pPr>
    </w:p>
    <w:p w14:paraId="458D8B99" w14:textId="77777777" w:rsidR="0094138F" w:rsidRDefault="0094138F" w:rsidP="0094138F">
      <w:pPr>
        <w:rPr>
          <w:rFonts w:ascii="Georgia" w:hAnsi="Georgia" w:cs="Times New Roman"/>
          <w:sz w:val="24"/>
          <w:szCs w:val="24"/>
        </w:rPr>
      </w:pPr>
    </w:p>
    <w:p w14:paraId="5C717DFC" w14:textId="6C77A8A4" w:rsidR="0094138F" w:rsidRPr="0094138F" w:rsidRDefault="0094138F" w:rsidP="0094138F">
      <w:pPr>
        <w:spacing w:after="120"/>
        <w:ind w:firstLine="397"/>
        <w:rPr>
          <w:rFonts w:ascii="Georgia" w:hAnsi="Georgia" w:cs="Times New Roman"/>
          <w:b/>
          <w:bCs/>
          <w:sz w:val="24"/>
          <w:szCs w:val="24"/>
        </w:rPr>
      </w:pPr>
      <w:r w:rsidRPr="0094138F">
        <w:rPr>
          <w:rFonts w:ascii="Georgia" w:hAnsi="Georgia" w:cs="Times New Roman"/>
          <w:b/>
          <w:bCs/>
          <w:sz w:val="18"/>
          <w:szCs w:val="18"/>
        </w:rPr>
        <w:t>Vállalatirányítási</w:t>
      </w:r>
    </w:p>
    <w:p w14:paraId="5671BBD3" w14:textId="2920FB6A" w:rsidR="00FC27ED" w:rsidRPr="00FC27ED" w:rsidRDefault="0094138F" w:rsidP="00FC27ED">
      <w:pPr>
        <w:rPr>
          <w:rFonts w:ascii="Georgia" w:hAnsi="Georgia" w:cs="Times New Roman"/>
          <w:sz w:val="24"/>
          <w:szCs w:val="24"/>
        </w:rPr>
      </w:pPr>
      <w:r w:rsidRPr="00453F16">
        <w:rPr>
          <w:noProof/>
          <w:lang w:eastAsia="hu-HU"/>
        </w:rPr>
        <w:drawing>
          <wp:anchor distT="0" distB="0" distL="114300" distR="114300" simplePos="0" relativeHeight="251709440" behindDoc="0" locked="0" layoutInCell="1" allowOverlap="1" wp14:anchorId="1488400D" wp14:editId="5F6CC3A9">
            <wp:simplePos x="0" y="0"/>
            <wp:positionH relativeFrom="margin">
              <wp:posOffset>674370</wp:posOffset>
            </wp:positionH>
            <wp:positionV relativeFrom="margin">
              <wp:posOffset>6960870</wp:posOffset>
            </wp:positionV>
            <wp:extent cx="3898900" cy="133794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90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A26B8" w14:textId="766C5BCC" w:rsidR="00FC27ED" w:rsidRPr="00FC27ED" w:rsidRDefault="00FC27ED" w:rsidP="00FC27ED">
      <w:pPr>
        <w:rPr>
          <w:rFonts w:ascii="Georgia" w:hAnsi="Georgia" w:cs="Times New Roman"/>
          <w:sz w:val="24"/>
          <w:szCs w:val="24"/>
        </w:rPr>
      </w:pPr>
    </w:p>
    <w:p w14:paraId="360AA429" w14:textId="514886E5" w:rsidR="00FC27ED" w:rsidRPr="00FC27ED" w:rsidRDefault="00FC27ED" w:rsidP="00FC27ED">
      <w:pPr>
        <w:rPr>
          <w:rFonts w:ascii="Georgia" w:hAnsi="Georgia" w:cs="Times New Roman"/>
          <w:sz w:val="24"/>
          <w:szCs w:val="24"/>
        </w:rPr>
      </w:pPr>
    </w:p>
    <w:p w14:paraId="666BDC66" w14:textId="52F333C2" w:rsidR="00FC27ED" w:rsidRPr="00FC27ED" w:rsidRDefault="00FC27ED" w:rsidP="00FC27ED">
      <w:pPr>
        <w:rPr>
          <w:rFonts w:ascii="Georgia" w:hAnsi="Georgia" w:cs="Times New Roman"/>
          <w:sz w:val="24"/>
          <w:szCs w:val="24"/>
        </w:rPr>
      </w:pPr>
    </w:p>
    <w:p w14:paraId="5715793C" w14:textId="6DD8D1E1" w:rsidR="00FC27ED" w:rsidRDefault="00FC27ED" w:rsidP="00FC27ED">
      <w:pPr>
        <w:rPr>
          <w:rFonts w:ascii="Georgia" w:hAnsi="Georgia" w:cs="Times New Roman"/>
          <w:b/>
          <w:bCs/>
          <w:sz w:val="24"/>
          <w:szCs w:val="24"/>
        </w:rPr>
      </w:pPr>
    </w:p>
    <w:p w14:paraId="31F891D6" w14:textId="27FF8434" w:rsidR="00FC27ED" w:rsidRDefault="00FC27ED" w:rsidP="00FC27ED">
      <w:pPr>
        <w:rPr>
          <w:rFonts w:ascii="Georgia" w:hAnsi="Georgia" w:cs="Times New Roman"/>
          <w:b/>
          <w:bCs/>
          <w:sz w:val="24"/>
          <w:szCs w:val="24"/>
        </w:rPr>
      </w:pPr>
    </w:p>
    <w:p w14:paraId="689EFEF9" w14:textId="5AE97E23" w:rsidR="00FC27ED" w:rsidRDefault="00FC27ED" w:rsidP="00FC27ED">
      <w:pPr>
        <w:tabs>
          <w:tab w:val="left" w:pos="1780"/>
        </w:tabs>
        <w:rPr>
          <w:rFonts w:ascii="Georgia" w:hAnsi="Georgia" w:cs="Times New Roman"/>
          <w:sz w:val="24"/>
          <w:szCs w:val="24"/>
        </w:rPr>
      </w:pPr>
      <w:r>
        <w:rPr>
          <w:rFonts w:ascii="Georgia" w:hAnsi="Georgia" w:cs="Times New Roman"/>
          <w:sz w:val="24"/>
          <w:szCs w:val="24"/>
        </w:rPr>
        <w:tab/>
      </w:r>
    </w:p>
    <w:p w14:paraId="0A220C1F" w14:textId="41FF618F" w:rsidR="00FC27ED" w:rsidRPr="00FC27ED" w:rsidRDefault="00FC27ED" w:rsidP="00FF7AC9">
      <w:pPr>
        <w:pStyle w:val="Listaszerbekezds"/>
        <w:numPr>
          <w:ilvl w:val="0"/>
          <w:numId w:val="6"/>
        </w:numPr>
        <w:spacing w:after="120"/>
        <w:rPr>
          <w:rFonts w:ascii="Georgia" w:hAnsi="Georgia" w:cs="Times New Roman"/>
          <w:b/>
          <w:bCs/>
          <w:sz w:val="24"/>
          <w:szCs w:val="24"/>
        </w:rPr>
      </w:pPr>
      <w:r w:rsidRPr="00FC27ED">
        <w:rPr>
          <w:rFonts w:ascii="Georgia" w:hAnsi="Georgia" w:cs="Times New Roman"/>
          <w:b/>
          <w:bCs/>
          <w:sz w:val="24"/>
          <w:szCs w:val="24"/>
        </w:rPr>
        <w:lastRenderedPageBreak/>
        <w:t>sz. melléklet – A korrelációvizsgálat eredményei</w:t>
      </w:r>
      <w:r>
        <w:rPr>
          <w:rFonts w:ascii="Georgia" w:hAnsi="Georgia" w:cs="Times New Roman"/>
          <w:b/>
          <w:bCs/>
          <w:sz w:val="24"/>
          <w:szCs w:val="24"/>
        </w:rPr>
        <w:t xml:space="preserve"> az aggregált pontszámok szintjén</w:t>
      </w:r>
      <w:r w:rsidRPr="00FC27ED">
        <w:rPr>
          <w:rFonts w:ascii="Georgia" w:hAnsi="Georgia" w:cs="Times New Roman"/>
          <w:b/>
          <w:bCs/>
          <w:sz w:val="24"/>
          <w:szCs w:val="24"/>
        </w:rPr>
        <w:t xml:space="preserve"> </w:t>
      </w:r>
      <w:r>
        <w:rPr>
          <w:rFonts w:ascii="Georgia" w:hAnsi="Georgia" w:cs="Times New Roman"/>
          <w:b/>
          <w:bCs/>
          <w:sz w:val="24"/>
          <w:szCs w:val="24"/>
        </w:rPr>
        <w:t>iparágak szerint</w:t>
      </w:r>
    </w:p>
    <w:p w14:paraId="02CBA566" w14:textId="77777777" w:rsidR="008F6021" w:rsidRDefault="008F6021" w:rsidP="00FC27ED">
      <w:pPr>
        <w:tabs>
          <w:tab w:val="left" w:pos="1780"/>
        </w:tabs>
        <w:rPr>
          <w:rFonts w:ascii="Georgia" w:hAnsi="Georgia" w:cs="Times New Roman"/>
          <w:sz w:val="24"/>
          <w:szCs w:val="24"/>
        </w:rPr>
      </w:pPr>
    </w:p>
    <w:p w14:paraId="5D7A8AE5" w14:textId="0FAD82C4" w:rsidR="008F6021" w:rsidRDefault="008F6021" w:rsidP="0094138F">
      <w:pPr>
        <w:spacing w:after="120"/>
        <w:ind w:left="720" w:firstLine="720"/>
        <w:rPr>
          <w:rFonts w:ascii="Georgia" w:hAnsi="Georgia" w:cs="Times New Roman"/>
          <w:sz w:val="24"/>
          <w:szCs w:val="24"/>
        </w:rPr>
      </w:pPr>
      <w:r w:rsidRPr="0094138F">
        <w:rPr>
          <w:rFonts w:ascii="Georgia" w:hAnsi="Georgia" w:cs="Times New Roman"/>
          <w:b/>
          <w:bCs/>
          <w:noProof/>
          <w:sz w:val="18"/>
          <w:szCs w:val="18"/>
          <w:lang w:eastAsia="hu-HU"/>
        </w:rPr>
        <w:drawing>
          <wp:anchor distT="0" distB="0" distL="114300" distR="114300" simplePos="0" relativeHeight="251713536" behindDoc="0" locked="0" layoutInCell="1" allowOverlap="1" wp14:anchorId="30E8BB0D" wp14:editId="4E6EAF65">
            <wp:simplePos x="0" y="0"/>
            <wp:positionH relativeFrom="column">
              <wp:posOffset>2828290</wp:posOffset>
            </wp:positionH>
            <wp:positionV relativeFrom="paragraph">
              <wp:posOffset>236855</wp:posOffset>
            </wp:positionV>
            <wp:extent cx="2319020" cy="1003300"/>
            <wp:effectExtent l="0" t="0" r="5080" b="635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902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7ED" w:rsidRPr="0094138F">
        <w:rPr>
          <w:rFonts w:ascii="Georgia" w:hAnsi="Georgia" w:cs="Times New Roman"/>
          <w:b/>
          <w:bCs/>
          <w:noProof/>
          <w:sz w:val="18"/>
          <w:szCs w:val="18"/>
          <w:lang w:eastAsia="hu-HU"/>
        </w:rPr>
        <w:drawing>
          <wp:anchor distT="0" distB="0" distL="114300" distR="114300" simplePos="0" relativeHeight="251711488" behindDoc="0" locked="0" layoutInCell="1" allowOverlap="1" wp14:anchorId="42354AA3" wp14:editId="2402C1FB">
            <wp:simplePos x="0" y="0"/>
            <wp:positionH relativeFrom="column">
              <wp:posOffset>123190</wp:posOffset>
            </wp:positionH>
            <wp:positionV relativeFrom="paragraph">
              <wp:posOffset>236855</wp:posOffset>
            </wp:positionV>
            <wp:extent cx="2320925" cy="1003300"/>
            <wp:effectExtent l="0" t="0" r="3175" b="635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092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8F">
        <w:rPr>
          <w:rFonts w:ascii="Georgia" w:hAnsi="Georgia" w:cs="Times New Roman"/>
          <w:b/>
          <w:bCs/>
          <w:sz w:val="18"/>
          <w:szCs w:val="18"/>
        </w:rPr>
        <w:t>Alapanyagok</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Ciklikus fogyasztási cikkek</w:t>
      </w:r>
    </w:p>
    <w:p w14:paraId="01A542CC" w14:textId="77777777" w:rsidR="008F6021" w:rsidRDefault="008F6021" w:rsidP="008F6021">
      <w:pPr>
        <w:tabs>
          <w:tab w:val="left" w:pos="1780"/>
        </w:tabs>
        <w:rPr>
          <w:rFonts w:ascii="Georgia" w:hAnsi="Georgia" w:cs="Times New Roman"/>
          <w:sz w:val="24"/>
          <w:szCs w:val="24"/>
        </w:rPr>
      </w:pPr>
    </w:p>
    <w:p w14:paraId="4F14FE3C" w14:textId="78A940B6" w:rsidR="008F6021" w:rsidRPr="008F6021" w:rsidRDefault="0094138F" w:rsidP="0094138F">
      <w:pPr>
        <w:ind w:firstLine="720"/>
        <w:rPr>
          <w:rFonts w:ascii="Georgia" w:hAnsi="Georgia" w:cs="Times New Roman"/>
          <w:sz w:val="24"/>
          <w:szCs w:val="24"/>
        </w:rPr>
      </w:pPr>
      <w:r w:rsidRPr="0094138F">
        <w:rPr>
          <w:rFonts w:ascii="Georgia" w:hAnsi="Georgia" w:cs="Times New Roman"/>
          <w:b/>
          <w:bCs/>
          <w:noProof/>
          <w:sz w:val="18"/>
          <w:szCs w:val="18"/>
          <w:lang w:eastAsia="hu-HU"/>
        </w:rPr>
        <w:drawing>
          <wp:anchor distT="0" distB="0" distL="114300" distR="114300" simplePos="0" relativeHeight="251721728" behindDoc="0" locked="0" layoutInCell="1" allowOverlap="1" wp14:anchorId="7E2BA83E" wp14:editId="6E1F7EF5">
            <wp:simplePos x="0" y="0"/>
            <wp:positionH relativeFrom="column">
              <wp:posOffset>2853690</wp:posOffset>
            </wp:positionH>
            <wp:positionV relativeFrom="paragraph">
              <wp:posOffset>229870</wp:posOffset>
            </wp:positionV>
            <wp:extent cx="2351405" cy="1004570"/>
            <wp:effectExtent l="0" t="0" r="0" b="5080"/>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8F">
        <w:rPr>
          <w:rFonts w:ascii="Georgia" w:hAnsi="Georgia" w:cs="Times New Roman"/>
          <w:b/>
          <w:bCs/>
          <w:noProof/>
          <w:sz w:val="18"/>
          <w:szCs w:val="18"/>
          <w:lang w:eastAsia="hu-HU"/>
        </w:rPr>
        <w:drawing>
          <wp:anchor distT="0" distB="0" distL="114300" distR="114300" simplePos="0" relativeHeight="251715584" behindDoc="0" locked="0" layoutInCell="1" allowOverlap="1" wp14:anchorId="0FA73524" wp14:editId="10247610">
            <wp:simplePos x="0" y="0"/>
            <wp:positionH relativeFrom="column">
              <wp:posOffset>123825</wp:posOffset>
            </wp:positionH>
            <wp:positionV relativeFrom="paragraph">
              <wp:posOffset>229870</wp:posOffset>
            </wp:positionV>
            <wp:extent cx="2320925" cy="1004570"/>
            <wp:effectExtent l="0" t="0" r="3175" b="508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092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21" w:rsidRPr="0094138F">
        <w:rPr>
          <w:rFonts w:ascii="Georgia" w:hAnsi="Georgia" w:cs="Times New Roman"/>
          <w:b/>
          <w:bCs/>
          <w:sz w:val="18"/>
          <w:szCs w:val="18"/>
        </w:rPr>
        <w:t>Nem ciklikus fogyasztási cikkek</w:t>
      </w:r>
      <w:r w:rsidR="008F6021" w:rsidRPr="0094138F">
        <w:rPr>
          <w:rFonts w:ascii="Georgia" w:hAnsi="Georgia" w:cs="Times New Roman"/>
          <w:b/>
          <w:bCs/>
          <w:sz w:val="18"/>
          <w:szCs w:val="18"/>
        </w:rPr>
        <w:tab/>
      </w:r>
      <w:r w:rsidR="008F6021">
        <w:rPr>
          <w:rFonts w:ascii="Georgia" w:hAnsi="Georgia" w:cs="Times New Roman"/>
          <w:sz w:val="24"/>
          <w:szCs w:val="24"/>
        </w:rPr>
        <w:tab/>
      </w:r>
      <w:r>
        <w:rPr>
          <w:rFonts w:ascii="Georgia" w:hAnsi="Georgia" w:cs="Times New Roman"/>
          <w:sz w:val="24"/>
          <w:szCs w:val="24"/>
        </w:rPr>
        <w:tab/>
      </w:r>
      <w:r w:rsidR="008F6021" w:rsidRPr="0094138F">
        <w:rPr>
          <w:rFonts w:ascii="Georgia" w:hAnsi="Georgia" w:cs="Times New Roman"/>
          <w:b/>
          <w:bCs/>
          <w:sz w:val="18"/>
          <w:szCs w:val="18"/>
        </w:rPr>
        <w:t>Technológia</w:t>
      </w:r>
    </w:p>
    <w:p w14:paraId="05E30287" w14:textId="77777777" w:rsidR="00151FC6" w:rsidRDefault="00151FC6" w:rsidP="00151FC6">
      <w:pPr>
        <w:rPr>
          <w:rFonts w:ascii="Georgia" w:hAnsi="Georgia" w:cs="Times New Roman"/>
          <w:sz w:val="24"/>
          <w:szCs w:val="24"/>
        </w:rPr>
      </w:pPr>
    </w:p>
    <w:p w14:paraId="412C3981" w14:textId="0FFC3E2A" w:rsidR="008F6021" w:rsidRDefault="0094138F" w:rsidP="00151FC6">
      <w:pPr>
        <w:ind w:left="1440"/>
        <w:rPr>
          <w:rFonts w:ascii="Georgia" w:hAnsi="Georgia" w:cs="Times New Roman"/>
          <w:sz w:val="24"/>
          <w:szCs w:val="24"/>
        </w:rPr>
      </w:pPr>
      <w:r w:rsidRPr="0094138F">
        <w:rPr>
          <w:rFonts w:ascii="Georgia" w:hAnsi="Georgia" w:cs="Times New Roman"/>
          <w:b/>
          <w:bCs/>
          <w:noProof/>
          <w:sz w:val="18"/>
          <w:szCs w:val="18"/>
          <w:lang w:eastAsia="hu-HU"/>
        </w:rPr>
        <w:drawing>
          <wp:anchor distT="0" distB="0" distL="114300" distR="114300" simplePos="0" relativeHeight="251717632" behindDoc="0" locked="0" layoutInCell="1" allowOverlap="1" wp14:anchorId="40B3B7FA" wp14:editId="34930ECE">
            <wp:simplePos x="0" y="0"/>
            <wp:positionH relativeFrom="column">
              <wp:posOffset>113030</wp:posOffset>
            </wp:positionH>
            <wp:positionV relativeFrom="paragraph">
              <wp:posOffset>251460</wp:posOffset>
            </wp:positionV>
            <wp:extent cx="2319020" cy="1172210"/>
            <wp:effectExtent l="0" t="0" r="5080" b="889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902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21" w:rsidRPr="0094138F">
        <w:rPr>
          <w:rFonts w:ascii="Georgia" w:hAnsi="Georgia" w:cs="Times New Roman"/>
          <w:b/>
          <w:bCs/>
          <w:noProof/>
          <w:sz w:val="18"/>
          <w:szCs w:val="18"/>
          <w:lang w:eastAsia="hu-HU"/>
        </w:rPr>
        <w:drawing>
          <wp:anchor distT="0" distB="0" distL="114300" distR="114300" simplePos="0" relativeHeight="251719680" behindDoc="0" locked="0" layoutInCell="1" allowOverlap="1" wp14:anchorId="2DBB6EAE" wp14:editId="2F53C275">
            <wp:simplePos x="0" y="0"/>
            <wp:positionH relativeFrom="column">
              <wp:posOffset>2854325</wp:posOffset>
            </wp:positionH>
            <wp:positionV relativeFrom="paragraph">
              <wp:posOffset>247650</wp:posOffset>
            </wp:positionV>
            <wp:extent cx="2315845" cy="1172210"/>
            <wp:effectExtent l="0" t="0" r="8255" b="8890"/>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584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21" w:rsidRPr="0094138F">
        <w:rPr>
          <w:rFonts w:ascii="Georgia" w:hAnsi="Georgia" w:cs="Times New Roman"/>
          <w:b/>
          <w:bCs/>
          <w:sz w:val="18"/>
          <w:szCs w:val="18"/>
        </w:rPr>
        <w:t>Energia</w:t>
      </w:r>
      <w:r w:rsidR="00151FC6">
        <w:rPr>
          <w:rFonts w:ascii="Georgia" w:hAnsi="Georgia" w:cs="Times New Roman"/>
          <w:sz w:val="24"/>
          <w:szCs w:val="24"/>
        </w:rPr>
        <w:tab/>
      </w:r>
      <w:r w:rsidR="00151FC6">
        <w:rPr>
          <w:rFonts w:ascii="Georgia" w:hAnsi="Georgia" w:cs="Times New Roman"/>
          <w:sz w:val="24"/>
          <w:szCs w:val="24"/>
        </w:rPr>
        <w:tab/>
      </w:r>
      <w:r w:rsidR="00151FC6">
        <w:rPr>
          <w:rFonts w:ascii="Georgia" w:hAnsi="Georgia" w:cs="Times New Roman"/>
          <w:sz w:val="24"/>
          <w:szCs w:val="24"/>
        </w:rPr>
        <w:tab/>
      </w:r>
      <w:r w:rsidR="00151FC6">
        <w:rPr>
          <w:rFonts w:ascii="Georgia" w:hAnsi="Georgia" w:cs="Times New Roman"/>
          <w:sz w:val="24"/>
          <w:szCs w:val="24"/>
        </w:rPr>
        <w:tab/>
      </w:r>
      <w:r w:rsidR="00151FC6">
        <w:rPr>
          <w:rFonts w:ascii="Georgia" w:hAnsi="Georgia" w:cs="Times New Roman"/>
          <w:sz w:val="24"/>
          <w:szCs w:val="24"/>
        </w:rPr>
        <w:tab/>
      </w:r>
      <w:r w:rsidR="008F6021" w:rsidRPr="0094138F">
        <w:rPr>
          <w:rFonts w:ascii="Georgia" w:hAnsi="Georgia" w:cs="Times New Roman"/>
          <w:b/>
          <w:bCs/>
          <w:sz w:val="18"/>
          <w:szCs w:val="18"/>
        </w:rPr>
        <w:t>Pénzügy</w:t>
      </w:r>
    </w:p>
    <w:p w14:paraId="40F871F7" w14:textId="19DB71C5" w:rsidR="008F6021" w:rsidRDefault="008F6021" w:rsidP="008F6021">
      <w:pPr>
        <w:spacing w:after="0"/>
        <w:rPr>
          <w:rFonts w:ascii="Georgia" w:hAnsi="Georgia" w:cs="Times New Roman"/>
          <w:sz w:val="24"/>
          <w:szCs w:val="24"/>
        </w:rPr>
      </w:pPr>
    </w:p>
    <w:p w14:paraId="12A862D1" w14:textId="77777777" w:rsidR="008F6021" w:rsidRDefault="008F6021" w:rsidP="008F6021">
      <w:pPr>
        <w:spacing w:after="0"/>
        <w:rPr>
          <w:rFonts w:ascii="Georgia" w:hAnsi="Georgia" w:cs="Times New Roman"/>
          <w:sz w:val="24"/>
          <w:szCs w:val="24"/>
        </w:rPr>
      </w:pPr>
    </w:p>
    <w:p w14:paraId="53BCAB48" w14:textId="24D2EF01" w:rsidR="008F6021" w:rsidRDefault="008F6021" w:rsidP="0094138F">
      <w:pPr>
        <w:ind w:left="720" w:firstLine="720"/>
        <w:rPr>
          <w:rFonts w:ascii="Georgia" w:hAnsi="Georgia" w:cs="Times New Roman"/>
          <w:sz w:val="24"/>
          <w:szCs w:val="24"/>
        </w:rPr>
      </w:pPr>
      <w:r w:rsidRPr="0094138F">
        <w:rPr>
          <w:rFonts w:ascii="Georgia" w:hAnsi="Georgia" w:cs="Times New Roman"/>
          <w:b/>
          <w:bCs/>
          <w:noProof/>
          <w:sz w:val="18"/>
          <w:szCs w:val="18"/>
          <w:lang w:eastAsia="hu-HU"/>
        </w:rPr>
        <w:drawing>
          <wp:anchor distT="0" distB="0" distL="114300" distR="114300" simplePos="0" relativeHeight="251725824" behindDoc="0" locked="0" layoutInCell="1" allowOverlap="1" wp14:anchorId="1A06751E" wp14:editId="5C1FBEB5">
            <wp:simplePos x="0" y="0"/>
            <wp:positionH relativeFrom="column">
              <wp:posOffset>2891790</wp:posOffset>
            </wp:positionH>
            <wp:positionV relativeFrom="paragraph">
              <wp:posOffset>248285</wp:posOffset>
            </wp:positionV>
            <wp:extent cx="2306955" cy="1168400"/>
            <wp:effectExtent l="0" t="0" r="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695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8F">
        <w:rPr>
          <w:rFonts w:ascii="Georgia" w:hAnsi="Georgia" w:cs="Times New Roman"/>
          <w:b/>
          <w:bCs/>
          <w:noProof/>
          <w:sz w:val="18"/>
          <w:szCs w:val="18"/>
          <w:lang w:eastAsia="hu-HU"/>
        </w:rPr>
        <w:drawing>
          <wp:anchor distT="0" distB="0" distL="114300" distR="114300" simplePos="0" relativeHeight="251723776" behindDoc="0" locked="0" layoutInCell="1" allowOverlap="1" wp14:anchorId="4D9614DD" wp14:editId="42638E3A">
            <wp:simplePos x="0" y="0"/>
            <wp:positionH relativeFrom="column">
              <wp:posOffset>123190</wp:posOffset>
            </wp:positionH>
            <wp:positionV relativeFrom="paragraph">
              <wp:posOffset>260985</wp:posOffset>
            </wp:positionV>
            <wp:extent cx="2276475" cy="977900"/>
            <wp:effectExtent l="0" t="0" r="9525" b="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647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8F">
        <w:rPr>
          <w:rFonts w:ascii="Georgia" w:hAnsi="Georgia" w:cs="Times New Roman"/>
          <w:b/>
          <w:bCs/>
          <w:sz w:val="18"/>
          <w:szCs w:val="18"/>
        </w:rPr>
        <w:t>Ipari termékek</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0094138F">
        <w:rPr>
          <w:rFonts w:ascii="Georgia" w:hAnsi="Georgia" w:cs="Times New Roman"/>
          <w:sz w:val="24"/>
          <w:szCs w:val="24"/>
        </w:rPr>
        <w:tab/>
      </w:r>
      <w:r w:rsidRPr="0094138F">
        <w:rPr>
          <w:rFonts w:ascii="Georgia" w:hAnsi="Georgia" w:cs="Times New Roman"/>
          <w:b/>
          <w:bCs/>
          <w:sz w:val="18"/>
          <w:szCs w:val="18"/>
        </w:rPr>
        <w:t>Egészségügy</w:t>
      </w:r>
    </w:p>
    <w:p w14:paraId="51CEC5AB" w14:textId="048221D1" w:rsidR="00773D66" w:rsidRPr="00773D66" w:rsidRDefault="00773D66" w:rsidP="00773D66">
      <w:pPr>
        <w:rPr>
          <w:rFonts w:ascii="Georgia" w:hAnsi="Georgia" w:cs="Times New Roman"/>
          <w:sz w:val="24"/>
          <w:szCs w:val="24"/>
        </w:rPr>
      </w:pPr>
    </w:p>
    <w:p w14:paraId="0F580999" w14:textId="3F74EEAD" w:rsidR="00773D66" w:rsidRPr="00773D66" w:rsidRDefault="00773D66" w:rsidP="00773D66">
      <w:pPr>
        <w:rPr>
          <w:rFonts w:ascii="Georgia" w:hAnsi="Georgia" w:cs="Times New Roman"/>
          <w:sz w:val="24"/>
          <w:szCs w:val="24"/>
        </w:rPr>
      </w:pPr>
    </w:p>
    <w:p w14:paraId="03F53041" w14:textId="7048D313" w:rsidR="00773D66" w:rsidRPr="00773D66" w:rsidRDefault="00773D66" w:rsidP="00773D66">
      <w:pPr>
        <w:rPr>
          <w:rFonts w:ascii="Georgia" w:hAnsi="Georgia" w:cs="Times New Roman"/>
          <w:sz w:val="24"/>
          <w:szCs w:val="24"/>
        </w:rPr>
      </w:pPr>
    </w:p>
    <w:p w14:paraId="34D67936" w14:textId="22F4E975" w:rsidR="00773D66" w:rsidRPr="00773D66" w:rsidRDefault="00773D66" w:rsidP="00773D66">
      <w:pPr>
        <w:rPr>
          <w:rFonts w:ascii="Georgia" w:hAnsi="Georgia" w:cs="Times New Roman"/>
          <w:sz w:val="24"/>
          <w:szCs w:val="24"/>
        </w:rPr>
      </w:pPr>
    </w:p>
    <w:p w14:paraId="28ACE301" w14:textId="0B8D6B5E" w:rsidR="00773D66" w:rsidRPr="00773D66" w:rsidRDefault="00773D66" w:rsidP="00773D66">
      <w:pPr>
        <w:rPr>
          <w:rFonts w:ascii="Georgia" w:hAnsi="Georgia" w:cs="Times New Roman"/>
          <w:sz w:val="24"/>
          <w:szCs w:val="24"/>
        </w:rPr>
      </w:pPr>
    </w:p>
    <w:p w14:paraId="4B5CABFF" w14:textId="3D3F2DFA" w:rsidR="00773D66" w:rsidRDefault="00773D66" w:rsidP="00773D66">
      <w:pPr>
        <w:rPr>
          <w:rFonts w:ascii="Georgia" w:hAnsi="Georgia" w:cs="Times New Roman"/>
          <w:sz w:val="24"/>
          <w:szCs w:val="24"/>
        </w:rPr>
      </w:pPr>
    </w:p>
    <w:p w14:paraId="3BD3AF94" w14:textId="43039FDA" w:rsidR="00773D66" w:rsidRDefault="00773D66" w:rsidP="00773D66">
      <w:pPr>
        <w:ind w:firstLine="720"/>
        <w:rPr>
          <w:rFonts w:ascii="Georgia" w:hAnsi="Georgia" w:cs="Times New Roman"/>
          <w:sz w:val="24"/>
          <w:szCs w:val="24"/>
        </w:rPr>
      </w:pPr>
    </w:p>
    <w:p w14:paraId="7D1834ED" w14:textId="24B353EC" w:rsidR="00773D66" w:rsidRDefault="00773D66" w:rsidP="00773D66">
      <w:pPr>
        <w:ind w:firstLine="720"/>
        <w:rPr>
          <w:rFonts w:ascii="Georgia" w:hAnsi="Georgia" w:cs="Times New Roman"/>
          <w:sz w:val="24"/>
          <w:szCs w:val="24"/>
        </w:rPr>
      </w:pPr>
    </w:p>
    <w:p w14:paraId="0EA746E6" w14:textId="4257A7F1" w:rsidR="00773D66" w:rsidRDefault="00773D66" w:rsidP="00773D66">
      <w:pPr>
        <w:ind w:firstLine="720"/>
        <w:rPr>
          <w:rFonts w:ascii="Georgia" w:hAnsi="Georgia" w:cs="Times New Roman"/>
          <w:sz w:val="24"/>
          <w:szCs w:val="24"/>
        </w:rPr>
      </w:pPr>
    </w:p>
    <w:p w14:paraId="37D29FD8" w14:textId="095846B9" w:rsidR="00773D66" w:rsidRDefault="00773D66" w:rsidP="00773D66">
      <w:pPr>
        <w:ind w:firstLine="720"/>
        <w:rPr>
          <w:rFonts w:ascii="Georgia" w:hAnsi="Georgia" w:cs="Times New Roman"/>
          <w:sz w:val="24"/>
          <w:szCs w:val="24"/>
        </w:rPr>
      </w:pPr>
    </w:p>
    <w:p w14:paraId="5E3C7E53" w14:textId="6E8AD45E" w:rsidR="00FC5F90" w:rsidRPr="00FC27ED" w:rsidRDefault="00FC5F90" w:rsidP="00FF7AC9">
      <w:pPr>
        <w:pStyle w:val="Listaszerbekezds"/>
        <w:numPr>
          <w:ilvl w:val="0"/>
          <w:numId w:val="6"/>
        </w:numPr>
        <w:spacing w:after="120"/>
        <w:rPr>
          <w:rFonts w:ascii="Georgia" w:hAnsi="Georgia" w:cs="Times New Roman"/>
          <w:b/>
          <w:bCs/>
          <w:sz w:val="24"/>
          <w:szCs w:val="24"/>
        </w:rPr>
      </w:pPr>
      <w:r w:rsidRPr="00FC27ED">
        <w:rPr>
          <w:rFonts w:ascii="Georgia" w:hAnsi="Georgia" w:cs="Times New Roman"/>
          <w:b/>
          <w:bCs/>
          <w:sz w:val="24"/>
          <w:szCs w:val="24"/>
        </w:rPr>
        <w:lastRenderedPageBreak/>
        <w:t>sz. melléklet – A korrelációvizsgálat eredményei</w:t>
      </w:r>
      <w:r>
        <w:rPr>
          <w:rFonts w:ascii="Georgia" w:hAnsi="Georgia" w:cs="Times New Roman"/>
          <w:b/>
          <w:bCs/>
          <w:sz w:val="24"/>
          <w:szCs w:val="24"/>
        </w:rPr>
        <w:t xml:space="preserve"> a környezeti pontszámok szintjén</w:t>
      </w:r>
      <w:r w:rsidRPr="00FC27ED">
        <w:rPr>
          <w:rFonts w:ascii="Georgia" w:hAnsi="Georgia" w:cs="Times New Roman"/>
          <w:b/>
          <w:bCs/>
          <w:sz w:val="24"/>
          <w:szCs w:val="24"/>
        </w:rPr>
        <w:t xml:space="preserve"> </w:t>
      </w:r>
      <w:r>
        <w:rPr>
          <w:rFonts w:ascii="Georgia" w:hAnsi="Georgia" w:cs="Times New Roman"/>
          <w:b/>
          <w:bCs/>
          <w:sz w:val="24"/>
          <w:szCs w:val="24"/>
        </w:rPr>
        <w:t>iparágak szerint</w:t>
      </w:r>
    </w:p>
    <w:p w14:paraId="1A9DCDDF" w14:textId="77777777" w:rsidR="00614234" w:rsidRDefault="00614234" w:rsidP="00773D66">
      <w:pPr>
        <w:ind w:firstLine="720"/>
        <w:rPr>
          <w:rFonts w:ascii="Georgia" w:hAnsi="Georgia" w:cs="Times New Roman"/>
          <w:sz w:val="24"/>
          <w:szCs w:val="24"/>
        </w:rPr>
      </w:pPr>
    </w:p>
    <w:p w14:paraId="4BC61674" w14:textId="0101613A" w:rsidR="00614234" w:rsidRDefault="00FC5F90" w:rsidP="00FC5F90">
      <w:pPr>
        <w:ind w:left="1440" w:firstLine="720"/>
        <w:rPr>
          <w:rFonts w:ascii="Georgia" w:hAnsi="Georgia" w:cs="Times New Roman"/>
          <w:b/>
          <w:bCs/>
          <w:sz w:val="18"/>
          <w:szCs w:val="18"/>
        </w:rPr>
      </w:pPr>
      <w:r w:rsidRPr="00614234">
        <w:rPr>
          <w:noProof/>
          <w:lang w:eastAsia="hu-HU"/>
        </w:rPr>
        <w:drawing>
          <wp:anchor distT="0" distB="0" distL="114300" distR="114300" simplePos="0" relativeHeight="251726848" behindDoc="0" locked="0" layoutInCell="1" allowOverlap="1" wp14:anchorId="45D0BBA6" wp14:editId="50EFADAC">
            <wp:simplePos x="0" y="0"/>
            <wp:positionH relativeFrom="column">
              <wp:posOffset>509270</wp:posOffset>
            </wp:positionH>
            <wp:positionV relativeFrom="paragraph">
              <wp:posOffset>246380</wp:posOffset>
            </wp:positionV>
            <wp:extent cx="2413000" cy="11176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3000" cy="1117600"/>
                    </a:xfrm>
                    <a:prstGeom prst="rect">
                      <a:avLst/>
                    </a:prstGeom>
                    <a:noFill/>
                    <a:ln>
                      <a:noFill/>
                    </a:ln>
                  </pic:spPr>
                </pic:pic>
              </a:graphicData>
            </a:graphic>
            <wp14:sizeRelH relativeFrom="margin">
              <wp14:pctWidth>0</wp14:pctWidth>
            </wp14:sizeRelH>
          </wp:anchor>
        </w:drawing>
      </w:r>
      <w:r w:rsidRPr="00614234">
        <w:rPr>
          <w:noProof/>
          <w:lang w:eastAsia="hu-HU"/>
        </w:rPr>
        <w:drawing>
          <wp:anchor distT="0" distB="0" distL="114300" distR="114300" simplePos="0" relativeHeight="251727872" behindDoc="0" locked="0" layoutInCell="1" allowOverlap="1" wp14:anchorId="0CA68F81" wp14:editId="2CFB927D">
            <wp:simplePos x="0" y="0"/>
            <wp:positionH relativeFrom="column">
              <wp:posOffset>3379470</wp:posOffset>
            </wp:positionH>
            <wp:positionV relativeFrom="paragraph">
              <wp:posOffset>246380</wp:posOffset>
            </wp:positionV>
            <wp:extent cx="2273300" cy="11176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3300" cy="1117600"/>
                    </a:xfrm>
                    <a:prstGeom prst="rect">
                      <a:avLst/>
                    </a:prstGeom>
                    <a:noFill/>
                    <a:ln>
                      <a:noFill/>
                    </a:ln>
                  </pic:spPr>
                </pic:pic>
              </a:graphicData>
            </a:graphic>
            <wp14:sizeRelH relativeFrom="margin">
              <wp14:pctWidth>0</wp14:pctWidth>
            </wp14:sizeRelH>
          </wp:anchor>
        </w:drawing>
      </w:r>
      <w:r w:rsidR="00614234" w:rsidRPr="0094138F">
        <w:rPr>
          <w:rFonts w:ascii="Georgia" w:hAnsi="Georgia" w:cs="Times New Roman"/>
          <w:b/>
          <w:bCs/>
          <w:sz w:val="18"/>
          <w:szCs w:val="18"/>
        </w:rPr>
        <w:t>Alapanyagok</w:t>
      </w:r>
      <w:r w:rsidR="00614234">
        <w:rPr>
          <w:rFonts w:ascii="Georgia" w:hAnsi="Georgia" w:cs="Times New Roman"/>
          <w:sz w:val="24"/>
          <w:szCs w:val="24"/>
        </w:rPr>
        <w:tab/>
      </w:r>
      <w:r w:rsidR="00614234">
        <w:rPr>
          <w:rFonts w:ascii="Georgia" w:hAnsi="Georgia" w:cs="Times New Roman"/>
          <w:sz w:val="24"/>
          <w:szCs w:val="24"/>
        </w:rPr>
        <w:tab/>
      </w:r>
      <w:r w:rsidR="00614234">
        <w:rPr>
          <w:rFonts w:ascii="Georgia" w:hAnsi="Georgia" w:cs="Times New Roman"/>
          <w:sz w:val="24"/>
          <w:szCs w:val="24"/>
        </w:rPr>
        <w:tab/>
      </w:r>
      <w:r w:rsidR="00614234">
        <w:rPr>
          <w:rFonts w:ascii="Georgia" w:hAnsi="Georgia" w:cs="Times New Roman"/>
          <w:sz w:val="24"/>
          <w:szCs w:val="24"/>
        </w:rPr>
        <w:tab/>
      </w:r>
      <w:r w:rsidR="00614234" w:rsidRPr="0094138F">
        <w:rPr>
          <w:rFonts w:ascii="Georgia" w:hAnsi="Georgia" w:cs="Times New Roman"/>
          <w:b/>
          <w:bCs/>
          <w:sz w:val="18"/>
          <w:szCs w:val="18"/>
        </w:rPr>
        <w:t>Ciklikus fogyasztási cikke</w:t>
      </w:r>
      <w:r w:rsidR="00614234">
        <w:rPr>
          <w:rFonts w:ascii="Georgia" w:hAnsi="Georgia" w:cs="Times New Roman"/>
          <w:b/>
          <w:bCs/>
          <w:sz w:val="18"/>
          <w:szCs w:val="18"/>
        </w:rPr>
        <w:t>k</w:t>
      </w:r>
    </w:p>
    <w:p w14:paraId="0A8EF4FA" w14:textId="77777777" w:rsidR="00FC5F90" w:rsidRDefault="00FC5F90" w:rsidP="00614234">
      <w:pPr>
        <w:rPr>
          <w:rFonts w:ascii="Georgia" w:hAnsi="Georgia" w:cs="Times New Roman"/>
          <w:sz w:val="24"/>
          <w:szCs w:val="24"/>
        </w:rPr>
      </w:pPr>
    </w:p>
    <w:p w14:paraId="50959845" w14:textId="77777777" w:rsidR="00FC5F90" w:rsidRDefault="00FC5F90" w:rsidP="00614234">
      <w:pPr>
        <w:rPr>
          <w:rFonts w:ascii="Georgia" w:hAnsi="Georgia" w:cs="Times New Roman"/>
          <w:sz w:val="24"/>
          <w:szCs w:val="24"/>
        </w:rPr>
      </w:pPr>
    </w:p>
    <w:p w14:paraId="038AB0E5" w14:textId="77777777" w:rsidR="00FC5F90" w:rsidRDefault="00FC5F90" w:rsidP="00614234">
      <w:pPr>
        <w:rPr>
          <w:rFonts w:ascii="Georgia" w:hAnsi="Georgia" w:cs="Times New Roman"/>
          <w:sz w:val="24"/>
          <w:szCs w:val="24"/>
        </w:rPr>
      </w:pPr>
    </w:p>
    <w:p w14:paraId="72732C9C" w14:textId="77777777" w:rsidR="00FC5F90" w:rsidRDefault="00FC5F90" w:rsidP="00614234">
      <w:pPr>
        <w:rPr>
          <w:rFonts w:ascii="Georgia" w:hAnsi="Georgia" w:cs="Times New Roman"/>
          <w:sz w:val="24"/>
          <w:szCs w:val="24"/>
        </w:rPr>
      </w:pPr>
    </w:p>
    <w:p w14:paraId="3501E044" w14:textId="77777777" w:rsidR="00FC5F90" w:rsidRDefault="00FC5F90" w:rsidP="00614234">
      <w:pPr>
        <w:rPr>
          <w:rFonts w:ascii="Georgia" w:hAnsi="Georgia" w:cs="Times New Roman"/>
          <w:b/>
          <w:bCs/>
          <w:sz w:val="18"/>
          <w:szCs w:val="18"/>
        </w:rPr>
      </w:pPr>
    </w:p>
    <w:p w14:paraId="418E227D" w14:textId="1F648C18" w:rsidR="00614234" w:rsidRDefault="00FC5F90" w:rsidP="00FC5F90">
      <w:pPr>
        <w:ind w:left="720" w:firstLine="720"/>
        <w:rPr>
          <w:rFonts w:ascii="Georgia" w:hAnsi="Georgia" w:cs="Times New Roman"/>
          <w:b/>
          <w:bCs/>
          <w:sz w:val="18"/>
          <w:szCs w:val="18"/>
        </w:rPr>
      </w:pPr>
      <w:r w:rsidRPr="00614234">
        <w:rPr>
          <w:noProof/>
          <w:lang w:eastAsia="hu-HU"/>
        </w:rPr>
        <w:drawing>
          <wp:anchor distT="0" distB="0" distL="114300" distR="114300" simplePos="0" relativeHeight="251734016" behindDoc="0" locked="0" layoutInCell="1" allowOverlap="1" wp14:anchorId="501584D3" wp14:editId="3475B741">
            <wp:simplePos x="0" y="0"/>
            <wp:positionH relativeFrom="column">
              <wp:posOffset>3379470</wp:posOffset>
            </wp:positionH>
            <wp:positionV relativeFrom="paragraph">
              <wp:posOffset>221615</wp:posOffset>
            </wp:positionV>
            <wp:extent cx="2298700" cy="111760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8700" cy="1117600"/>
                    </a:xfrm>
                    <a:prstGeom prst="rect">
                      <a:avLst/>
                    </a:prstGeom>
                    <a:noFill/>
                    <a:ln>
                      <a:noFill/>
                    </a:ln>
                  </pic:spPr>
                </pic:pic>
              </a:graphicData>
            </a:graphic>
            <wp14:sizeRelH relativeFrom="margin">
              <wp14:pctWidth>0</wp14:pctWidth>
            </wp14:sizeRelH>
          </wp:anchor>
        </w:drawing>
      </w:r>
      <w:r w:rsidRPr="00614234">
        <w:rPr>
          <w:noProof/>
          <w:lang w:eastAsia="hu-HU"/>
        </w:rPr>
        <w:drawing>
          <wp:anchor distT="0" distB="0" distL="114300" distR="114300" simplePos="0" relativeHeight="251732992" behindDoc="0" locked="0" layoutInCell="1" allowOverlap="1" wp14:anchorId="281DCA52" wp14:editId="6CBF5175">
            <wp:simplePos x="0" y="0"/>
            <wp:positionH relativeFrom="column">
              <wp:posOffset>509270</wp:posOffset>
            </wp:positionH>
            <wp:positionV relativeFrom="paragraph">
              <wp:posOffset>221615</wp:posOffset>
            </wp:positionV>
            <wp:extent cx="2413000" cy="11176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0" cy="1117600"/>
                    </a:xfrm>
                    <a:prstGeom prst="rect">
                      <a:avLst/>
                    </a:prstGeom>
                    <a:noFill/>
                    <a:ln>
                      <a:noFill/>
                    </a:ln>
                  </pic:spPr>
                </pic:pic>
              </a:graphicData>
            </a:graphic>
            <wp14:sizeRelH relativeFrom="margin">
              <wp14:pctWidth>0</wp14:pctWidth>
            </wp14:sizeRelH>
          </wp:anchor>
        </w:drawing>
      </w:r>
      <w:r w:rsidRPr="0094138F">
        <w:rPr>
          <w:rFonts w:ascii="Georgia" w:hAnsi="Georgia" w:cs="Times New Roman"/>
          <w:b/>
          <w:bCs/>
          <w:sz w:val="18"/>
          <w:szCs w:val="18"/>
        </w:rPr>
        <w:t>Nem ciklikus fogyasztási cikkek</w:t>
      </w:r>
      <w:r w:rsidRPr="0094138F">
        <w:rPr>
          <w:rFonts w:ascii="Georgia" w:hAnsi="Georgia" w:cs="Times New Roman"/>
          <w:b/>
          <w:bCs/>
          <w:sz w:val="18"/>
          <w:szCs w:val="18"/>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Technológ</w:t>
      </w:r>
      <w:r>
        <w:rPr>
          <w:rFonts w:ascii="Georgia" w:hAnsi="Georgia" w:cs="Times New Roman"/>
          <w:b/>
          <w:bCs/>
          <w:sz w:val="18"/>
          <w:szCs w:val="18"/>
        </w:rPr>
        <w:t>ia</w:t>
      </w:r>
    </w:p>
    <w:p w14:paraId="6A235610" w14:textId="68A98DE9" w:rsidR="00FC5F90" w:rsidRDefault="00FC5F90" w:rsidP="00FC5F90">
      <w:pPr>
        <w:ind w:left="720" w:firstLine="720"/>
        <w:rPr>
          <w:rFonts w:ascii="Georgia" w:hAnsi="Georgia" w:cs="Times New Roman"/>
          <w:b/>
          <w:bCs/>
          <w:sz w:val="18"/>
          <w:szCs w:val="18"/>
        </w:rPr>
      </w:pPr>
    </w:p>
    <w:p w14:paraId="4BB60547" w14:textId="1FAF5C50" w:rsidR="00FC5F90" w:rsidRDefault="00FC5F90" w:rsidP="00FC5F90">
      <w:pPr>
        <w:ind w:left="1440" w:firstLine="720"/>
        <w:rPr>
          <w:rFonts w:ascii="Georgia" w:hAnsi="Georgia" w:cs="Times New Roman"/>
          <w:b/>
          <w:bCs/>
          <w:sz w:val="18"/>
          <w:szCs w:val="18"/>
        </w:rPr>
      </w:pPr>
      <w:r w:rsidRPr="00614234">
        <w:rPr>
          <w:noProof/>
          <w:lang w:eastAsia="hu-HU"/>
        </w:rPr>
        <w:drawing>
          <wp:anchor distT="0" distB="0" distL="114300" distR="114300" simplePos="0" relativeHeight="251729920" behindDoc="0" locked="0" layoutInCell="1" allowOverlap="1" wp14:anchorId="5367684E" wp14:editId="1A83D869">
            <wp:simplePos x="0" y="0"/>
            <wp:positionH relativeFrom="column">
              <wp:posOffset>3379470</wp:posOffset>
            </wp:positionH>
            <wp:positionV relativeFrom="paragraph">
              <wp:posOffset>310515</wp:posOffset>
            </wp:positionV>
            <wp:extent cx="2298700" cy="11176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8700" cy="1117600"/>
                    </a:xfrm>
                    <a:prstGeom prst="rect">
                      <a:avLst/>
                    </a:prstGeom>
                    <a:noFill/>
                    <a:ln>
                      <a:noFill/>
                    </a:ln>
                  </pic:spPr>
                </pic:pic>
              </a:graphicData>
            </a:graphic>
            <wp14:sizeRelH relativeFrom="margin">
              <wp14:pctWidth>0</wp14:pctWidth>
            </wp14:sizeRelH>
          </wp:anchor>
        </w:drawing>
      </w:r>
      <w:r w:rsidRPr="00614234">
        <w:rPr>
          <w:noProof/>
          <w:lang w:eastAsia="hu-HU"/>
        </w:rPr>
        <w:drawing>
          <wp:anchor distT="0" distB="0" distL="114300" distR="114300" simplePos="0" relativeHeight="251728896" behindDoc="0" locked="0" layoutInCell="1" allowOverlap="1" wp14:anchorId="0E6B24A9" wp14:editId="6727CCD7">
            <wp:simplePos x="0" y="0"/>
            <wp:positionH relativeFrom="column">
              <wp:posOffset>509270</wp:posOffset>
            </wp:positionH>
            <wp:positionV relativeFrom="paragraph">
              <wp:posOffset>221615</wp:posOffset>
            </wp:positionV>
            <wp:extent cx="2413000" cy="13589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0" cy="1358900"/>
                    </a:xfrm>
                    <a:prstGeom prst="rect">
                      <a:avLst/>
                    </a:prstGeom>
                    <a:noFill/>
                    <a:ln>
                      <a:noFill/>
                    </a:ln>
                  </pic:spPr>
                </pic:pic>
              </a:graphicData>
            </a:graphic>
            <wp14:sizeRelH relativeFrom="margin">
              <wp14:pctWidth>0</wp14:pctWidth>
            </wp14:sizeRelH>
          </wp:anchor>
        </w:drawing>
      </w:r>
      <w:r w:rsidRPr="0094138F">
        <w:rPr>
          <w:rFonts w:ascii="Georgia" w:hAnsi="Georgia" w:cs="Times New Roman"/>
          <w:b/>
          <w:bCs/>
          <w:sz w:val="18"/>
          <w:szCs w:val="18"/>
        </w:rPr>
        <w:t>Energia</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Pénzüg</w:t>
      </w:r>
      <w:r>
        <w:rPr>
          <w:rFonts w:ascii="Georgia" w:hAnsi="Georgia" w:cs="Times New Roman"/>
          <w:b/>
          <w:bCs/>
          <w:sz w:val="18"/>
          <w:szCs w:val="18"/>
        </w:rPr>
        <w:t>y</w:t>
      </w:r>
    </w:p>
    <w:p w14:paraId="51785FB5" w14:textId="77777777" w:rsidR="00FC5F90" w:rsidRDefault="00FC5F90" w:rsidP="00FC5F90">
      <w:pPr>
        <w:ind w:left="720" w:firstLine="720"/>
        <w:rPr>
          <w:rFonts w:ascii="Georgia" w:hAnsi="Georgia" w:cs="Times New Roman"/>
          <w:sz w:val="24"/>
          <w:szCs w:val="24"/>
        </w:rPr>
      </w:pPr>
    </w:p>
    <w:p w14:paraId="7BFC23DC" w14:textId="7E8ACE42" w:rsidR="00FC5F90" w:rsidRDefault="00FC5F90" w:rsidP="00FC5F90">
      <w:pPr>
        <w:ind w:left="1440" w:firstLine="720"/>
        <w:rPr>
          <w:rFonts w:ascii="Georgia" w:hAnsi="Georgia" w:cs="Times New Roman"/>
          <w:b/>
          <w:bCs/>
          <w:sz w:val="18"/>
          <w:szCs w:val="18"/>
        </w:rPr>
      </w:pPr>
      <w:r w:rsidRPr="00614234">
        <w:rPr>
          <w:noProof/>
          <w:lang w:eastAsia="hu-HU"/>
        </w:rPr>
        <w:drawing>
          <wp:anchor distT="0" distB="0" distL="114300" distR="114300" simplePos="0" relativeHeight="251731968" behindDoc="0" locked="0" layoutInCell="1" allowOverlap="1" wp14:anchorId="5B4AFBA5" wp14:editId="4A55217C">
            <wp:simplePos x="0" y="0"/>
            <wp:positionH relativeFrom="column">
              <wp:posOffset>509270</wp:posOffset>
            </wp:positionH>
            <wp:positionV relativeFrom="paragraph">
              <wp:posOffset>251460</wp:posOffset>
            </wp:positionV>
            <wp:extent cx="2413000" cy="1117600"/>
            <wp:effectExtent l="0" t="0" r="635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0" cy="1117600"/>
                    </a:xfrm>
                    <a:prstGeom prst="rect">
                      <a:avLst/>
                    </a:prstGeom>
                    <a:noFill/>
                    <a:ln>
                      <a:noFill/>
                    </a:ln>
                  </pic:spPr>
                </pic:pic>
              </a:graphicData>
            </a:graphic>
            <wp14:sizeRelH relativeFrom="margin">
              <wp14:pctWidth>0</wp14:pctWidth>
            </wp14:sizeRelH>
          </wp:anchor>
        </w:drawing>
      </w:r>
      <w:r w:rsidRPr="00614234">
        <w:rPr>
          <w:noProof/>
          <w:lang w:eastAsia="hu-HU"/>
        </w:rPr>
        <w:drawing>
          <wp:anchor distT="0" distB="0" distL="114300" distR="114300" simplePos="0" relativeHeight="251730944" behindDoc="0" locked="0" layoutInCell="1" allowOverlap="1" wp14:anchorId="0CD9735C" wp14:editId="23BA623B">
            <wp:simplePos x="0" y="0"/>
            <wp:positionH relativeFrom="column">
              <wp:posOffset>3379470</wp:posOffset>
            </wp:positionH>
            <wp:positionV relativeFrom="paragraph">
              <wp:posOffset>251460</wp:posOffset>
            </wp:positionV>
            <wp:extent cx="2273300" cy="11176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0" cy="1117600"/>
                    </a:xfrm>
                    <a:prstGeom prst="rect">
                      <a:avLst/>
                    </a:prstGeom>
                    <a:noFill/>
                    <a:ln>
                      <a:noFill/>
                    </a:ln>
                  </pic:spPr>
                </pic:pic>
              </a:graphicData>
            </a:graphic>
            <wp14:sizeRelH relativeFrom="margin">
              <wp14:pctWidth>0</wp14:pctWidth>
            </wp14:sizeRelH>
          </wp:anchor>
        </w:drawing>
      </w:r>
      <w:r w:rsidRPr="0094138F">
        <w:rPr>
          <w:rFonts w:ascii="Georgia" w:hAnsi="Georgia" w:cs="Times New Roman"/>
          <w:b/>
          <w:bCs/>
          <w:sz w:val="18"/>
          <w:szCs w:val="18"/>
        </w:rPr>
        <w:t>Ipari termékek</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Egészségügy</w:t>
      </w:r>
      <w:r w:rsidRPr="00614234">
        <w:t xml:space="preserve"> </w:t>
      </w:r>
    </w:p>
    <w:p w14:paraId="2E17B28A" w14:textId="5E2915A6" w:rsidR="002D21F3" w:rsidRPr="002D21F3" w:rsidRDefault="002D21F3" w:rsidP="002D21F3">
      <w:pPr>
        <w:rPr>
          <w:rFonts w:ascii="Georgia" w:hAnsi="Georgia" w:cs="Times New Roman"/>
          <w:sz w:val="24"/>
          <w:szCs w:val="24"/>
        </w:rPr>
      </w:pPr>
    </w:p>
    <w:p w14:paraId="69306003" w14:textId="7FE043B4" w:rsidR="002D21F3" w:rsidRPr="002D21F3" w:rsidRDefault="002D21F3" w:rsidP="002D21F3">
      <w:pPr>
        <w:rPr>
          <w:rFonts w:ascii="Georgia" w:hAnsi="Georgia" w:cs="Times New Roman"/>
          <w:sz w:val="24"/>
          <w:szCs w:val="24"/>
        </w:rPr>
      </w:pPr>
    </w:p>
    <w:p w14:paraId="599250D1" w14:textId="5D3348A7" w:rsidR="002D21F3" w:rsidRPr="002D21F3" w:rsidRDefault="002D21F3" w:rsidP="002D21F3">
      <w:pPr>
        <w:rPr>
          <w:rFonts w:ascii="Georgia" w:hAnsi="Georgia" w:cs="Times New Roman"/>
          <w:sz w:val="24"/>
          <w:szCs w:val="24"/>
        </w:rPr>
      </w:pPr>
    </w:p>
    <w:p w14:paraId="137709A2" w14:textId="58B952F5" w:rsidR="002D21F3" w:rsidRPr="002D21F3" w:rsidRDefault="002D21F3" w:rsidP="002D21F3">
      <w:pPr>
        <w:rPr>
          <w:rFonts w:ascii="Georgia" w:hAnsi="Georgia" w:cs="Times New Roman"/>
          <w:sz w:val="24"/>
          <w:szCs w:val="24"/>
        </w:rPr>
      </w:pPr>
    </w:p>
    <w:p w14:paraId="58B0694E" w14:textId="02C4A92F" w:rsidR="002D21F3" w:rsidRDefault="002D21F3" w:rsidP="002D21F3">
      <w:pPr>
        <w:rPr>
          <w:rFonts w:ascii="Georgia" w:hAnsi="Georgia" w:cs="Times New Roman"/>
          <w:b/>
          <w:bCs/>
          <w:sz w:val="18"/>
          <w:szCs w:val="18"/>
        </w:rPr>
      </w:pPr>
    </w:p>
    <w:p w14:paraId="4D9B2D5D" w14:textId="552838F4" w:rsidR="002D21F3" w:rsidRDefault="002D21F3" w:rsidP="002D21F3">
      <w:pPr>
        <w:rPr>
          <w:rFonts w:ascii="Georgia" w:hAnsi="Georgia" w:cs="Times New Roman"/>
          <w:b/>
          <w:bCs/>
          <w:sz w:val="18"/>
          <w:szCs w:val="18"/>
        </w:rPr>
      </w:pPr>
    </w:p>
    <w:p w14:paraId="031DD644" w14:textId="7A294195" w:rsidR="002D21F3" w:rsidRDefault="002D21F3" w:rsidP="002D21F3">
      <w:pPr>
        <w:tabs>
          <w:tab w:val="left" w:pos="1580"/>
        </w:tabs>
        <w:rPr>
          <w:rFonts w:ascii="Georgia" w:hAnsi="Georgia" w:cs="Times New Roman"/>
          <w:sz w:val="24"/>
          <w:szCs w:val="24"/>
        </w:rPr>
      </w:pPr>
      <w:r>
        <w:rPr>
          <w:rFonts w:ascii="Georgia" w:hAnsi="Georgia" w:cs="Times New Roman"/>
          <w:sz w:val="24"/>
          <w:szCs w:val="24"/>
        </w:rPr>
        <w:tab/>
      </w:r>
    </w:p>
    <w:p w14:paraId="1BC5EC8A" w14:textId="131023E8" w:rsidR="002D21F3" w:rsidRDefault="002D21F3" w:rsidP="002D21F3">
      <w:pPr>
        <w:tabs>
          <w:tab w:val="left" w:pos="1580"/>
        </w:tabs>
        <w:rPr>
          <w:rFonts w:ascii="Georgia" w:hAnsi="Georgia" w:cs="Times New Roman"/>
          <w:sz w:val="24"/>
          <w:szCs w:val="24"/>
        </w:rPr>
      </w:pPr>
    </w:p>
    <w:p w14:paraId="6D3E307A" w14:textId="05D6B72E" w:rsidR="002D21F3" w:rsidRDefault="002D21F3" w:rsidP="002D21F3">
      <w:pPr>
        <w:tabs>
          <w:tab w:val="left" w:pos="1580"/>
        </w:tabs>
        <w:rPr>
          <w:rFonts w:ascii="Georgia" w:hAnsi="Georgia" w:cs="Times New Roman"/>
          <w:sz w:val="24"/>
          <w:szCs w:val="24"/>
        </w:rPr>
      </w:pPr>
    </w:p>
    <w:p w14:paraId="193E00C2" w14:textId="7AAFC9EC" w:rsidR="002D21F3" w:rsidRDefault="002D21F3" w:rsidP="002D21F3">
      <w:pPr>
        <w:tabs>
          <w:tab w:val="left" w:pos="1580"/>
        </w:tabs>
        <w:rPr>
          <w:rFonts w:ascii="Georgia" w:hAnsi="Georgia" w:cs="Times New Roman"/>
          <w:sz w:val="24"/>
          <w:szCs w:val="24"/>
        </w:rPr>
      </w:pPr>
    </w:p>
    <w:p w14:paraId="552E33FB" w14:textId="5DBF183B" w:rsidR="002D21F3" w:rsidRPr="002D21F3" w:rsidRDefault="002D21F3" w:rsidP="00FF7AC9">
      <w:pPr>
        <w:pStyle w:val="Listaszerbekezds"/>
        <w:numPr>
          <w:ilvl w:val="0"/>
          <w:numId w:val="6"/>
        </w:numPr>
        <w:spacing w:after="120"/>
        <w:rPr>
          <w:rFonts w:ascii="Georgia" w:hAnsi="Georgia" w:cs="Times New Roman"/>
          <w:b/>
          <w:bCs/>
          <w:sz w:val="24"/>
          <w:szCs w:val="24"/>
        </w:rPr>
      </w:pPr>
      <w:r w:rsidRPr="002D21F3">
        <w:rPr>
          <w:rFonts w:ascii="Georgia" w:hAnsi="Georgia" w:cs="Times New Roman"/>
          <w:b/>
          <w:bCs/>
          <w:sz w:val="24"/>
          <w:szCs w:val="24"/>
        </w:rPr>
        <w:lastRenderedPageBreak/>
        <w:t xml:space="preserve">sz. melléklet – A korrelációvizsgálat eredményei a </w:t>
      </w:r>
      <w:r>
        <w:rPr>
          <w:rFonts w:ascii="Georgia" w:hAnsi="Georgia" w:cs="Times New Roman"/>
          <w:b/>
          <w:bCs/>
          <w:sz w:val="24"/>
          <w:szCs w:val="24"/>
        </w:rPr>
        <w:t>társadalmi</w:t>
      </w:r>
      <w:r w:rsidRPr="002D21F3">
        <w:rPr>
          <w:rFonts w:ascii="Georgia" w:hAnsi="Georgia" w:cs="Times New Roman"/>
          <w:b/>
          <w:bCs/>
          <w:sz w:val="24"/>
          <w:szCs w:val="24"/>
        </w:rPr>
        <w:t xml:space="preserve"> pontszámok szintjén iparágak szerint</w:t>
      </w:r>
    </w:p>
    <w:p w14:paraId="499C414A" w14:textId="77777777" w:rsidR="007569AF" w:rsidRDefault="007569AF" w:rsidP="002049BF">
      <w:pPr>
        <w:tabs>
          <w:tab w:val="left" w:pos="1580"/>
        </w:tabs>
        <w:rPr>
          <w:rFonts w:ascii="Georgia" w:hAnsi="Georgia" w:cs="Times New Roman"/>
          <w:sz w:val="24"/>
          <w:szCs w:val="24"/>
        </w:rPr>
      </w:pPr>
    </w:p>
    <w:p w14:paraId="44E24C75" w14:textId="532917C1" w:rsidR="002D21F3" w:rsidRDefault="007569AF" w:rsidP="002049BF">
      <w:pPr>
        <w:tabs>
          <w:tab w:val="left" w:pos="1580"/>
        </w:tabs>
        <w:rPr>
          <w:rFonts w:ascii="Georgia" w:hAnsi="Georgia" w:cs="Times New Roman"/>
          <w:sz w:val="24"/>
          <w:szCs w:val="24"/>
        </w:rPr>
      </w:pPr>
      <w:r w:rsidRPr="002049BF">
        <w:rPr>
          <w:noProof/>
          <w:lang w:eastAsia="hu-HU"/>
        </w:rPr>
        <w:drawing>
          <wp:anchor distT="0" distB="0" distL="114300" distR="114300" simplePos="0" relativeHeight="251736064" behindDoc="0" locked="0" layoutInCell="1" allowOverlap="1" wp14:anchorId="2FBB2673" wp14:editId="35DD378D">
            <wp:simplePos x="0" y="0"/>
            <wp:positionH relativeFrom="column">
              <wp:posOffset>2917825</wp:posOffset>
            </wp:positionH>
            <wp:positionV relativeFrom="paragraph">
              <wp:posOffset>240665</wp:posOffset>
            </wp:positionV>
            <wp:extent cx="2324100" cy="11176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1117600"/>
                    </a:xfrm>
                    <a:prstGeom prst="rect">
                      <a:avLst/>
                    </a:prstGeom>
                    <a:noFill/>
                    <a:ln>
                      <a:noFill/>
                    </a:ln>
                  </pic:spPr>
                </pic:pic>
              </a:graphicData>
            </a:graphic>
            <wp14:sizeRelH relativeFrom="margin">
              <wp14:pctWidth>0</wp14:pctWidth>
            </wp14:sizeRelH>
          </wp:anchor>
        </w:drawing>
      </w:r>
      <w:r w:rsidRPr="002049BF">
        <w:rPr>
          <w:noProof/>
          <w:lang w:eastAsia="hu-HU"/>
        </w:rPr>
        <w:drawing>
          <wp:anchor distT="0" distB="0" distL="114300" distR="114300" simplePos="0" relativeHeight="251735040" behindDoc="0" locked="0" layoutInCell="1" allowOverlap="1" wp14:anchorId="61C81F72" wp14:editId="60074648">
            <wp:simplePos x="0" y="0"/>
            <wp:positionH relativeFrom="column">
              <wp:posOffset>85725</wp:posOffset>
            </wp:positionH>
            <wp:positionV relativeFrom="paragraph">
              <wp:posOffset>240665</wp:posOffset>
            </wp:positionV>
            <wp:extent cx="2514600" cy="11176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117600"/>
                    </a:xfrm>
                    <a:prstGeom prst="rect">
                      <a:avLst/>
                    </a:prstGeom>
                    <a:noFill/>
                    <a:ln>
                      <a:noFill/>
                    </a:ln>
                  </pic:spPr>
                </pic:pic>
              </a:graphicData>
            </a:graphic>
            <wp14:sizeRelH relativeFrom="margin">
              <wp14:pctWidth>0</wp14:pctWidth>
            </wp14:sizeRelH>
          </wp:anchor>
        </w:drawing>
      </w:r>
      <w:r>
        <w:rPr>
          <w:rFonts w:ascii="Georgia" w:hAnsi="Georgia" w:cs="Times New Roman"/>
          <w:b/>
          <w:bCs/>
          <w:sz w:val="18"/>
          <w:szCs w:val="18"/>
        </w:rPr>
        <w:tab/>
        <w:t>Ala</w:t>
      </w:r>
      <w:r w:rsidRPr="0094138F">
        <w:rPr>
          <w:rFonts w:ascii="Georgia" w:hAnsi="Georgia" w:cs="Times New Roman"/>
          <w:b/>
          <w:bCs/>
          <w:sz w:val="18"/>
          <w:szCs w:val="18"/>
        </w:rPr>
        <w:t>panyagok</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Ciklikus fogyasztási cikke</w:t>
      </w:r>
      <w:r>
        <w:rPr>
          <w:rFonts w:ascii="Georgia" w:hAnsi="Georgia" w:cs="Times New Roman"/>
          <w:b/>
          <w:bCs/>
          <w:sz w:val="18"/>
          <w:szCs w:val="18"/>
        </w:rPr>
        <w:t>k</w:t>
      </w:r>
    </w:p>
    <w:p w14:paraId="1229E23F" w14:textId="77777777" w:rsidR="007569AF" w:rsidRDefault="007569AF" w:rsidP="007569AF">
      <w:pPr>
        <w:tabs>
          <w:tab w:val="left" w:pos="1580"/>
        </w:tabs>
        <w:rPr>
          <w:rFonts w:ascii="Georgia" w:hAnsi="Georgia" w:cs="Times New Roman"/>
          <w:sz w:val="24"/>
          <w:szCs w:val="24"/>
        </w:rPr>
      </w:pPr>
    </w:p>
    <w:p w14:paraId="7AA8A0DB" w14:textId="5B426BF4" w:rsidR="007569AF" w:rsidRDefault="007569AF" w:rsidP="007569AF">
      <w:pPr>
        <w:tabs>
          <w:tab w:val="left" w:pos="1580"/>
        </w:tabs>
        <w:ind w:firstLine="720"/>
        <w:rPr>
          <w:rFonts w:ascii="Georgia" w:hAnsi="Georgia" w:cs="Times New Roman"/>
          <w:sz w:val="24"/>
          <w:szCs w:val="24"/>
        </w:rPr>
      </w:pPr>
      <w:r w:rsidRPr="007569AF">
        <w:rPr>
          <w:noProof/>
          <w:lang w:eastAsia="hu-HU"/>
        </w:rPr>
        <w:drawing>
          <wp:anchor distT="0" distB="0" distL="114300" distR="114300" simplePos="0" relativeHeight="251744256" behindDoc="0" locked="0" layoutInCell="1" allowOverlap="1" wp14:anchorId="4CC7D68C" wp14:editId="35560C43">
            <wp:simplePos x="0" y="0"/>
            <wp:positionH relativeFrom="column">
              <wp:posOffset>2917825</wp:posOffset>
            </wp:positionH>
            <wp:positionV relativeFrom="paragraph">
              <wp:posOffset>238760</wp:posOffset>
            </wp:positionV>
            <wp:extent cx="2324100" cy="111760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100" cy="1117600"/>
                    </a:xfrm>
                    <a:prstGeom prst="rect">
                      <a:avLst/>
                    </a:prstGeom>
                    <a:noFill/>
                    <a:ln>
                      <a:noFill/>
                    </a:ln>
                  </pic:spPr>
                </pic:pic>
              </a:graphicData>
            </a:graphic>
            <wp14:sizeRelH relativeFrom="margin">
              <wp14:pctWidth>0</wp14:pctWidth>
            </wp14:sizeRelH>
          </wp:anchor>
        </w:drawing>
      </w:r>
      <w:r w:rsidRPr="007569AF">
        <w:rPr>
          <w:noProof/>
          <w:lang w:eastAsia="hu-HU"/>
        </w:rPr>
        <w:drawing>
          <wp:anchor distT="0" distB="0" distL="114300" distR="114300" simplePos="0" relativeHeight="251743232" behindDoc="0" locked="0" layoutInCell="1" allowOverlap="1" wp14:anchorId="18C279A3" wp14:editId="39C10983">
            <wp:simplePos x="0" y="0"/>
            <wp:positionH relativeFrom="column">
              <wp:posOffset>85725</wp:posOffset>
            </wp:positionH>
            <wp:positionV relativeFrom="paragraph">
              <wp:posOffset>238760</wp:posOffset>
            </wp:positionV>
            <wp:extent cx="2514600" cy="1117600"/>
            <wp:effectExtent l="0" t="0" r="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117600"/>
                    </a:xfrm>
                    <a:prstGeom prst="rect">
                      <a:avLst/>
                    </a:prstGeom>
                    <a:noFill/>
                    <a:ln>
                      <a:noFill/>
                    </a:ln>
                  </pic:spPr>
                </pic:pic>
              </a:graphicData>
            </a:graphic>
            <wp14:sizeRelH relativeFrom="margin">
              <wp14:pctWidth>0</wp14:pctWidth>
            </wp14:sizeRelH>
          </wp:anchor>
        </w:drawing>
      </w:r>
      <w:r w:rsidRPr="0094138F">
        <w:rPr>
          <w:rFonts w:ascii="Georgia" w:hAnsi="Georgia" w:cs="Times New Roman"/>
          <w:b/>
          <w:bCs/>
          <w:sz w:val="18"/>
          <w:szCs w:val="18"/>
        </w:rPr>
        <w:t>Nem ciklikus fogyasztási cikkek</w:t>
      </w:r>
      <w:r w:rsidRPr="0094138F">
        <w:rPr>
          <w:rFonts w:ascii="Georgia" w:hAnsi="Georgia" w:cs="Times New Roman"/>
          <w:b/>
          <w:bCs/>
          <w:sz w:val="18"/>
          <w:szCs w:val="18"/>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Technológ</w:t>
      </w:r>
      <w:r>
        <w:rPr>
          <w:rFonts w:ascii="Georgia" w:hAnsi="Georgia" w:cs="Times New Roman"/>
          <w:b/>
          <w:bCs/>
          <w:sz w:val="18"/>
          <w:szCs w:val="18"/>
        </w:rPr>
        <w:t>ia</w:t>
      </w:r>
    </w:p>
    <w:p w14:paraId="76F57979" w14:textId="77777777" w:rsidR="007569AF" w:rsidRDefault="007569AF" w:rsidP="002049BF">
      <w:pPr>
        <w:tabs>
          <w:tab w:val="left" w:pos="1580"/>
        </w:tabs>
        <w:rPr>
          <w:rFonts w:ascii="Georgia" w:hAnsi="Georgia" w:cs="Times New Roman"/>
          <w:b/>
          <w:bCs/>
          <w:sz w:val="18"/>
          <w:szCs w:val="18"/>
        </w:rPr>
      </w:pPr>
    </w:p>
    <w:p w14:paraId="46A03306" w14:textId="3A40D970" w:rsidR="002049BF" w:rsidRDefault="007569AF" w:rsidP="002049BF">
      <w:pPr>
        <w:tabs>
          <w:tab w:val="left" w:pos="1580"/>
        </w:tabs>
        <w:rPr>
          <w:rFonts w:ascii="Georgia" w:hAnsi="Georgia" w:cs="Times New Roman"/>
          <w:b/>
          <w:bCs/>
          <w:sz w:val="18"/>
          <w:szCs w:val="18"/>
        </w:rPr>
      </w:pPr>
      <w:r w:rsidRPr="007569AF">
        <w:rPr>
          <w:noProof/>
          <w:lang w:eastAsia="hu-HU"/>
        </w:rPr>
        <w:drawing>
          <wp:anchor distT="0" distB="0" distL="114300" distR="114300" simplePos="0" relativeHeight="251740160" behindDoc="0" locked="0" layoutInCell="1" allowOverlap="1" wp14:anchorId="193FBF26" wp14:editId="13ACB3FE">
            <wp:simplePos x="0" y="0"/>
            <wp:positionH relativeFrom="column">
              <wp:posOffset>2917825</wp:posOffset>
            </wp:positionH>
            <wp:positionV relativeFrom="paragraph">
              <wp:posOffset>234315</wp:posOffset>
            </wp:positionV>
            <wp:extent cx="2324100" cy="1447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4100" cy="1447800"/>
                    </a:xfrm>
                    <a:prstGeom prst="rect">
                      <a:avLst/>
                    </a:prstGeom>
                    <a:noFill/>
                    <a:ln>
                      <a:noFill/>
                    </a:ln>
                  </pic:spPr>
                </pic:pic>
              </a:graphicData>
            </a:graphic>
            <wp14:sizeRelH relativeFrom="margin">
              <wp14:pctWidth>0</wp14:pctWidth>
            </wp14:sizeRelH>
          </wp:anchor>
        </w:drawing>
      </w:r>
      <w:r w:rsidRPr="007569AF">
        <w:rPr>
          <w:noProof/>
          <w:lang w:eastAsia="hu-HU"/>
        </w:rPr>
        <w:drawing>
          <wp:anchor distT="0" distB="0" distL="114300" distR="114300" simplePos="0" relativeHeight="251739136" behindDoc="0" locked="0" layoutInCell="1" allowOverlap="1" wp14:anchorId="1CF7AFF9" wp14:editId="711162A3">
            <wp:simplePos x="0" y="0"/>
            <wp:positionH relativeFrom="column">
              <wp:posOffset>85725</wp:posOffset>
            </wp:positionH>
            <wp:positionV relativeFrom="paragraph">
              <wp:posOffset>234315</wp:posOffset>
            </wp:positionV>
            <wp:extent cx="2514600" cy="11176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117600"/>
                    </a:xfrm>
                    <a:prstGeom prst="rect">
                      <a:avLst/>
                    </a:prstGeom>
                    <a:noFill/>
                    <a:ln>
                      <a:noFill/>
                    </a:ln>
                  </pic:spPr>
                </pic:pic>
              </a:graphicData>
            </a:graphic>
            <wp14:sizeRelH relativeFrom="margin">
              <wp14:pctWidth>0</wp14:pctWidth>
            </wp14:sizeRelH>
          </wp:anchor>
        </w:drawing>
      </w:r>
      <w:r>
        <w:rPr>
          <w:rFonts w:ascii="Georgia" w:hAnsi="Georgia" w:cs="Times New Roman"/>
          <w:b/>
          <w:bCs/>
          <w:sz w:val="18"/>
          <w:szCs w:val="18"/>
        </w:rPr>
        <w:tab/>
      </w:r>
      <w:r w:rsidRPr="0094138F">
        <w:rPr>
          <w:rFonts w:ascii="Georgia" w:hAnsi="Georgia" w:cs="Times New Roman"/>
          <w:b/>
          <w:bCs/>
          <w:sz w:val="18"/>
          <w:szCs w:val="18"/>
        </w:rPr>
        <w:t>Energia</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Pénzüg</w:t>
      </w:r>
      <w:r>
        <w:rPr>
          <w:rFonts w:ascii="Georgia" w:hAnsi="Georgia" w:cs="Times New Roman"/>
          <w:b/>
          <w:bCs/>
          <w:sz w:val="18"/>
          <w:szCs w:val="18"/>
        </w:rPr>
        <w:t>y</w:t>
      </w:r>
    </w:p>
    <w:p w14:paraId="2B85794D" w14:textId="67C8CEED" w:rsidR="007569AF" w:rsidRPr="007569AF" w:rsidRDefault="007569AF" w:rsidP="007569AF">
      <w:pPr>
        <w:rPr>
          <w:rFonts w:ascii="Georgia" w:hAnsi="Georgia" w:cs="Times New Roman"/>
          <w:sz w:val="24"/>
          <w:szCs w:val="24"/>
        </w:rPr>
      </w:pPr>
    </w:p>
    <w:p w14:paraId="1DB74D7D" w14:textId="1C2483C3" w:rsidR="007569AF" w:rsidRPr="007569AF" w:rsidRDefault="007569AF" w:rsidP="007569AF">
      <w:pPr>
        <w:rPr>
          <w:rFonts w:ascii="Georgia" w:hAnsi="Georgia" w:cs="Times New Roman"/>
          <w:sz w:val="24"/>
          <w:szCs w:val="24"/>
        </w:rPr>
      </w:pPr>
    </w:p>
    <w:p w14:paraId="3FDF9107" w14:textId="57DD2BF7" w:rsidR="007569AF" w:rsidRPr="007569AF" w:rsidRDefault="007569AF" w:rsidP="007569AF">
      <w:pPr>
        <w:ind w:left="720" w:firstLine="720"/>
        <w:rPr>
          <w:rFonts w:ascii="Georgia" w:hAnsi="Georgia" w:cs="Times New Roman"/>
          <w:sz w:val="24"/>
          <w:szCs w:val="24"/>
        </w:rPr>
      </w:pPr>
      <w:r w:rsidRPr="007569AF">
        <w:rPr>
          <w:noProof/>
          <w:lang w:eastAsia="hu-HU"/>
        </w:rPr>
        <w:drawing>
          <wp:anchor distT="0" distB="0" distL="114300" distR="114300" simplePos="0" relativeHeight="251741184" behindDoc="0" locked="0" layoutInCell="1" allowOverlap="1" wp14:anchorId="1C48E31E" wp14:editId="18887C7D">
            <wp:simplePos x="0" y="0"/>
            <wp:positionH relativeFrom="column">
              <wp:posOffset>2917825</wp:posOffset>
            </wp:positionH>
            <wp:positionV relativeFrom="paragraph">
              <wp:posOffset>242570</wp:posOffset>
            </wp:positionV>
            <wp:extent cx="2324100" cy="111760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1117600"/>
                    </a:xfrm>
                    <a:prstGeom prst="rect">
                      <a:avLst/>
                    </a:prstGeom>
                    <a:noFill/>
                    <a:ln>
                      <a:noFill/>
                    </a:ln>
                  </pic:spPr>
                </pic:pic>
              </a:graphicData>
            </a:graphic>
            <wp14:sizeRelH relativeFrom="margin">
              <wp14:pctWidth>0</wp14:pctWidth>
            </wp14:sizeRelH>
          </wp:anchor>
        </w:drawing>
      </w:r>
      <w:r w:rsidRPr="007569AF">
        <w:rPr>
          <w:noProof/>
          <w:lang w:eastAsia="hu-HU"/>
        </w:rPr>
        <w:drawing>
          <wp:anchor distT="0" distB="0" distL="114300" distR="114300" simplePos="0" relativeHeight="251742208" behindDoc="0" locked="0" layoutInCell="1" allowOverlap="1" wp14:anchorId="28F9B75C" wp14:editId="56A1E9E3">
            <wp:simplePos x="0" y="0"/>
            <wp:positionH relativeFrom="column">
              <wp:posOffset>85725</wp:posOffset>
            </wp:positionH>
            <wp:positionV relativeFrom="paragraph">
              <wp:posOffset>242570</wp:posOffset>
            </wp:positionV>
            <wp:extent cx="2451100" cy="1117600"/>
            <wp:effectExtent l="0" t="0" r="635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1100" cy="1117600"/>
                    </a:xfrm>
                    <a:prstGeom prst="rect">
                      <a:avLst/>
                    </a:prstGeom>
                    <a:noFill/>
                    <a:ln>
                      <a:noFill/>
                    </a:ln>
                  </pic:spPr>
                </pic:pic>
              </a:graphicData>
            </a:graphic>
            <wp14:sizeRelH relativeFrom="margin">
              <wp14:pctWidth>0</wp14:pctWidth>
            </wp14:sizeRelH>
          </wp:anchor>
        </w:drawing>
      </w:r>
      <w:r>
        <w:rPr>
          <w:rFonts w:ascii="Georgia" w:hAnsi="Georgia" w:cs="Times New Roman"/>
          <w:b/>
          <w:bCs/>
          <w:sz w:val="18"/>
          <w:szCs w:val="18"/>
        </w:rPr>
        <w:t>I</w:t>
      </w:r>
      <w:r w:rsidRPr="0094138F">
        <w:rPr>
          <w:rFonts w:ascii="Georgia" w:hAnsi="Georgia" w:cs="Times New Roman"/>
          <w:b/>
          <w:bCs/>
          <w:sz w:val="18"/>
          <w:szCs w:val="18"/>
        </w:rPr>
        <w:t>pari termékek</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Egészségüg</w:t>
      </w:r>
      <w:r>
        <w:rPr>
          <w:rFonts w:ascii="Georgia" w:hAnsi="Georgia" w:cs="Times New Roman"/>
          <w:b/>
          <w:bCs/>
          <w:sz w:val="18"/>
          <w:szCs w:val="18"/>
        </w:rPr>
        <w:t>y</w:t>
      </w:r>
    </w:p>
    <w:p w14:paraId="630A2676" w14:textId="526B1488" w:rsidR="007569AF" w:rsidRPr="007569AF" w:rsidRDefault="007569AF" w:rsidP="007569AF">
      <w:pPr>
        <w:rPr>
          <w:rFonts w:ascii="Georgia" w:hAnsi="Georgia" w:cs="Times New Roman"/>
          <w:sz w:val="24"/>
          <w:szCs w:val="24"/>
        </w:rPr>
      </w:pPr>
    </w:p>
    <w:p w14:paraId="1B3E0F5B" w14:textId="2BA87E0F" w:rsidR="007569AF" w:rsidRPr="007569AF" w:rsidRDefault="007569AF" w:rsidP="007569AF">
      <w:pPr>
        <w:rPr>
          <w:rFonts w:ascii="Georgia" w:hAnsi="Georgia" w:cs="Times New Roman"/>
          <w:sz w:val="24"/>
          <w:szCs w:val="24"/>
        </w:rPr>
      </w:pPr>
    </w:p>
    <w:p w14:paraId="4443076C" w14:textId="276E22C9" w:rsidR="007569AF" w:rsidRDefault="007569AF" w:rsidP="007569AF">
      <w:pPr>
        <w:rPr>
          <w:rFonts w:ascii="Georgia" w:hAnsi="Georgia" w:cs="Times New Roman"/>
          <w:sz w:val="24"/>
          <w:szCs w:val="24"/>
        </w:rPr>
      </w:pPr>
    </w:p>
    <w:p w14:paraId="4739430C" w14:textId="66759F43" w:rsidR="00160883" w:rsidRDefault="00160883" w:rsidP="007569AF">
      <w:pPr>
        <w:rPr>
          <w:rFonts w:ascii="Georgia" w:hAnsi="Georgia" w:cs="Times New Roman"/>
          <w:sz w:val="24"/>
          <w:szCs w:val="24"/>
        </w:rPr>
      </w:pPr>
    </w:p>
    <w:p w14:paraId="496BB531" w14:textId="4412E933" w:rsidR="00160883" w:rsidRDefault="00160883" w:rsidP="007569AF">
      <w:pPr>
        <w:rPr>
          <w:rFonts w:ascii="Georgia" w:hAnsi="Georgia" w:cs="Times New Roman"/>
          <w:sz w:val="24"/>
          <w:szCs w:val="24"/>
        </w:rPr>
      </w:pPr>
    </w:p>
    <w:p w14:paraId="3B8C056B" w14:textId="37735544" w:rsidR="00160883" w:rsidRDefault="00160883" w:rsidP="00FF7AC9">
      <w:pPr>
        <w:pStyle w:val="Listaszerbekezds"/>
        <w:numPr>
          <w:ilvl w:val="0"/>
          <w:numId w:val="6"/>
        </w:numPr>
        <w:spacing w:after="120"/>
        <w:rPr>
          <w:rFonts w:ascii="Georgia" w:hAnsi="Georgia" w:cs="Times New Roman"/>
          <w:b/>
          <w:bCs/>
          <w:sz w:val="24"/>
          <w:szCs w:val="24"/>
        </w:rPr>
      </w:pPr>
      <w:r w:rsidRPr="002D21F3">
        <w:rPr>
          <w:rFonts w:ascii="Georgia" w:hAnsi="Georgia" w:cs="Times New Roman"/>
          <w:b/>
          <w:bCs/>
          <w:sz w:val="24"/>
          <w:szCs w:val="24"/>
        </w:rPr>
        <w:lastRenderedPageBreak/>
        <w:t xml:space="preserve">sz. melléklet – A korrelációvizsgálat eredményei a </w:t>
      </w:r>
      <w:r>
        <w:rPr>
          <w:rFonts w:ascii="Georgia" w:hAnsi="Georgia" w:cs="Times New Roman"/>
          <w:b/>
          <w:bCs/>
          <w:sz w:val="24"/>
          <w:szCs w:val="24"/>
        </w:rPr>
        <w:t>vállalatirányítási</w:t>
      </w:r>
      <w:r w:rsidRPr="002D21F3">
        <w:rPr>
          <w:rFonts w:ascii="Georgia" w:hAnsi="Georgia" w:cs="Times New Roman"/>
          <w:b/>
          <w:bCs/>
          <w:sz w:val="24"/>
          <w:szCs w:val="24"/>
        </w:rPr>
        <w:t xml:space="preserve"> pontszámok szintjén iparágak szerint</w:t>
      </w:r>
    </w:p>
    <w:p w14:paraId="6F63B643" w14:textId="77777777" w:rsidR="00160883" w:rsidRDefault="00160883" w:rsidP="00160883">
      <w:pPr>
        <w:spacing w:after="120"/>
        <w:rPr>
          <w:rFonts w:ascii="Georgia" w:hAnsi="Georgia" w:cs="Times New Roman"/>
          <w:b/>
          <w:bCs/>
          <w:sz w:val="18"/>
          <w:szCs w:val="18"/>
        </w:rPr>
      </w:pPr>
    </w:p>
    <w:p w14:paraId="5E9AD1FD" w14:textId="56F37919" w:rsidR="00160883" w:rsidRPr="00160883" w:rsidRDefault="00C54AE8" w:rsidP="00F77B2D">
      <w:pPr>
        <w:spacing w:after="120"/>
        <w:ind w:left="1437" w:firstLine="3"/>
        <w:rPr>
          <w:rFonts w:ascii="Georgia" w:hAnsi="Georgia" w:cs="Times New Roman"/>
          <w:b/>
          <w:bCs/>
          <w:sz w:val="24"/>
          <w:szCs w:val="24"/>
        </w:rPr>
      </w:pPr>
      <w:r w:rsidRPr="00160883">
        <w:rPr>
          <w:noProof/>
          <w:lang w:eastAsia="hu-HU"/>
        </w:rPr>
        <w:drawing>
          <wp:anchor distT="0" distB="0" distL="114300" distR="114300" simplePos="0" relativeHeight="251745280" behindDoc="0" locked="0" layoutInCell="1" allowOverlap="1" wp14:anchorId="2FBFBFE4" wp14:editId="04345F31">
            <wp:simplePos x="0" y="0"/>
            <wp:positionH relativeFrom="column">
              <wp:posOffset>3011170</wp:posOffset>
            </wp:positionH>
            <wp:positionV relativeFrom="paragraph">
              <wp:posOffset>236855</wp:posOffset>
            </wp:positionV>
            <wp:extent cx="2362200" cy="111760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2200" cy="1117600"/>
                    </a:xfrm>
                    <a:prstGeom prst="rect">
                      <a:avLst/>
                    </a:prstGeom>
                    <a:noFill/>
                    <a:ln>
                      <a:noFill/>
                    </a:ln>
                  </pic:spPr>
                </pic:pic>
              </a:graphicData>
            </a:graphic>
            <wp14:sizeRelH relativeFrom="margin">
              <wp14:pctWidth>0</wp14:pctWidth>
            </wp14:sizeRelH>
          </wp:anchor>
        </w:drawing>
      </w:r>
      <w:r w:rsidRPr="00160883">
        <w:rPr>
          <w:noProof/>
          <w:lang w:eastAsia="hu-HU"/>
        </w:rPr>
        <w:drawing>
          <wp:anchor distT="0" distB="0" distL="114300" distR="114300" simplePos="0" relativeHeight="251746304" behindDoc="0" locked="0" layoutInCell="1" allowOverlap="1" wp14:anchorId="3859C2D5" wp14:editId="4281AF71">
            <wp:simplePos x="0" y="0"/>
            <wp:positionH relativeFrom="column">
              <wp:posOffset>318770</wp:posOffset>
            </wp:positionH>
            <wp:positionV relativeFrom="paragraph">
              <wp:posOffset>236855</wp:posOffset>
            </wp:positionV>
            <wp:extent cx="2298700" cy="1117600"/>
            <wp:effectExtent l="0" t="0" r="635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8700" cy="1117600"/>
                    </a:xfrm>
                    <a:prstGeom prst="rect">
                      <a:avLst/>
                    </a:prstGeom>
                    <a:noFill/>
                    <a:ln>
                      <a:noFill/>
                    </a:ln>
                  </pic:spPr>
                </pic:pic>
              </a:graphicData>
            </a:graphic>
            <wp14:sizeRelH relativeFrom="margin">
              <wp14:pctWidth>0</wp14:pctWidth>
            </wp14:sizeRelH>
          </wp:anchor>
        </w:drawing>
      </w:r>
      <w:r w:rsidR="00160883">
        <w:rPr>
          <w:rFonts w:ascii="Georgia" w:hAnsi="Georgia" w:cs="Times New Roman"/>
          <w:b/>
          <w:bCs/>
          <w:sz w:val="18"/>
          <w:szCs w:val="18"/>
        </w:rPr>
        <w:t>Ala</w:t>
      </w:r>
      <w:r w:rsidR="00160883" w:rsidRPr="0094138F">
        <w:rPr>
          <w:rFonts w:ascii="Georgia" w:hAnsi="Georgia" w:cs="Times New Roman"/>
          <w:b/>
          <w:bCs/>
          <w:sz w:val="18"/>
          <w:szCs w:val="18"/>
        </w:rPr>
        <w:t>panyagok</w:t>
      </w:r>
      <w:r w:rsidR="00160883">
        <w:rPr>
          <w:rFonts w:ascii="Georgia" w:hAnsi="Georgia" w:cs="Times New Roman"/>
          <w:sz w:val="24"/>
          <w:szCs w:val="24"/>
        </w:rPr>
        <w:tab/>
      </w:r>
      <w:r w:rsidR="00160883">
        <w:rPr>
          <w:rFonts w:ascii="Georgia" w:hAnsi="Georgia" w:cs="Times New Roman"/>
          <w:sz w:val="24"/>
          <w:szCs w:val="24"/>
        </w:rPr>
        <w:tab/>
      </w:r>
      <w:r w:rsidR="00160883">
        <w:rPr>
          <w:rFonts w:ascii="Georgia" w:hAnsi="Georgia" w:cs="Times New Roman"/>
          <w:sz w:val="24"/>
          <w:szCs w:val="24"/>
        </w:rPr>
        <w:tab/>
      </w:r>
      <w:r w:rsidR="00160883">
        <w:rPr>
          <w:rFonts w:ascii="Georgia" w:hAnsi="Georgia" w:cs="Times New Roman"/>
          <w:sz w:val="24"/>
          <w:szCs w:val="24"/>
        </w:rPr>
        <w:tab/>
      </w:r>
      <w:r w:rsidR="00160883" w:rsidRPr="0094138F">
        <w:rPr>
          <w:rFonts w:ascii="Georgia" w:hAnsi="Georgia" w:cs="Times New Roman"/>
          <w:b/>
          <w:bCs/>
          <w:sz w:val="18"/>
          <w:szCs w:val="18"/>
        </w:rPr>
        <w:t>Ciklikus fogyasztási cikke</w:t>
      </w:r>
      <w:r w:rsidR="00160883">
        <w:rPr>
          <w:rFonts w:ascii="Georgia" w:hAnsi="Georgia" w:cs="Times New Roman"/>
          <w:b/>
          <w:bCs/>
          <w:sz w:val="18"/>
          <w:szCs w:val="18"/>
        </w:rPr>
        <w:t>k</w:t>
      </w:r>
    </w:p>
    <w:p w14:paraId="24891F8C" w14:textId="119D347E" w:rsidR="00160883" w:rsidRDefault="00160883" w:rsidP="007569AF">
      <w:pPr>
        <w:rPr>
          <w:rFonts w:ascii="Georgia" w:hAnsi="Georgia" w:cs="Times New Roman"/>
          <w:sz w:val="24"/>
          <w:szCs w:val="24"/>
        </w:rPr>
      </w:pPr>
    </w:p>
    <w:p w14:paraId="11B1D0B8" w14:textId="36B8F28B" w:rsidR="00C54AE8" w:rsidRDefault="00C54AE8" w:rsidP="00C54AE8">
      <w:pPr>
        <w:ind w:firstLine="720"/>
        <w:rPr>
          <w:rFonts w:ascii="Georgia" w:hAnsi="Georgia" w:cs="Times New Roman"/>
          <w:b/>
          <w:bCs/>
          <w:sz w:val="18"/>
          <w:szCs w:val="18"/>
        </w:rPr>
      </w:pPr>
      <w:r w:rsidRPr="00C54AE8">
        <w:rPr>
          <w:noProof/>
          <w:lang w:eastAsia="hu-HU"/>
        </w:rPr>
        <w:drawing>
          <wp:anchor distT="0" distB="0" distL="114300" distR="114300" simplePos="0" relativeHeight="251747328" behindDoc="0" locked="0" layoutInCell="1" allowOverlap="1" wp14:anchorId="71DD659A" wp14:editId="40B6C66D">
            <wp:simplePos x="0" y="0"/>
            <wp:positionH relativeFrom="column">
              <wp:posOffset>306070</wp:posOffset>
            </wp:positionH>
            <wp:positionV relativeFrom="paragraph">
              <wp:posOffset>262890</wp:posOffset>
            </wp:positionV>
            <wp:extent cx="2298700" cy="1117600"/>
            <wp:effectExtent l="0" t="0" r="635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8700" cy="1117600"/>
                    </a:xfrm>
                    <a:prstGeom prst="rect">
                      <a:avLst/>
                    </a:prstGeom>
                    <a:noFill/>
                    <a:ln>
                      <a:noFill/>
                    </a:ln>
                  </pic:spPr>
                </pic:pic>
              </a:graphicData>
            </a:graphic>
            <wp14:sizeRelH relativeFrom="margin">
              <wp14:pctWidth>0</wp14:pctWidth>
            </wp14:sizeRelH>
          </wp:anchor>
        </w:drawing>
      </w:r>
      <w:r w:rsidRPr="00C54AE8">
        <w:rPr>
          <w:noProof/>
          <w:lang w:eastAsia="hu-HU"/>
        </w:rPr>
        <w:drawing>
          <wp:anchor distT="0" distB="0" distL="114300" distR="114300" simplePos="0" relativeHeight="251748352" behindDoc="0" locked="0" layoutInCell="1" allowOverlap="1" wp14:anchorId="59DF36AA" wp14:editId="33F1076E">
            <wp:simplePos x="0" y="0"/>
            <wp:positionH relativeFrom="column">
              <wp:posOffset>2998470</wp:posOffset>
            </wp:positionH>
            <wp:positionV relativeFrom="paragraph">
              <wp:posOffset>262890</wp:posOffset>
            </wp:positionV>
            <wp:extent cx="2362200" cy="1117600"/>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117600"/>
                    </a:xfrm>
                    <a:prstGeom prst="rect">
                      <a:avLst/>
                    </a:prstGeom>
                    <a:noFill/>
                    <a:ln>
                      <a:noFill/>
                    </a:ln>
                  </pic:spPr>
                </pic:pic>
              </a:graphicData>
            </a:graphic>
            <wp14:sizeRelH relativeFrom="margin">
              <wp14:pctWidth>0</wp14:pctWidth>
            </wp14:sizeRelH>
          </wp:anchor>
        </w:drawing>
      </w:r>
      <w:r w:rsidRPr="0094138F">
        <w:rPr>
          <w:rFonts w:ascii="Georgia" w:hAnsi="Georgia" w:cs="Times New Roman"/>
          <w:b/>
          <w:bCs/>
          <w:sz w:val="18"/>
          <w:szCs w:val="18"/>
        </w:rPr>
        <w:t>Nem ciklikus fogyasztási cikkek</w:t>
      </w:r>
      <w:r w:rsidRPr="0094138F">
        <w:rPr>
          <w:rFonts w:ascii="Georgia" w:hAnsi="Georgia" w:cs="Times New Roman"/>
          <w:b/>
          <w:bCs/>
          <w:sz w:val="18"/>
          <w:szCs w:val="18"/>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Technológ</w:t>
      </w:r>
      <w:r>
        <w:rPr>
          <w:rFonts w:ascii="Georgia" w:hAnsi="Georgia" w:cs="Times New Roman"/>
          <w:b/>
          <w:bCs/>
          <w:sz w:val="18"/>
          <w:szCs w:val="18"/>
        </w:rPr>
        <w:t>ia</w:t>
      </w:r>
    </w:p>
    <w:p w14:paraId="7DC5422E" w14:textId="1388C823" w:rsidR="00C54AE8" w:rsidRPr="00C54AE8" w:rsidRDefault="00C54AE8" w:rsidP="00C54AE8">
      <w:pPr>
        <w:rPr>
          <w:rFonts w:ascii="Georgia" w:hAnsi="Georgia" w:cs="Times New Roman"/>
          <w:sz w:val="24"/>
          <w:szCs w:val="24"/>
        </w:rPr>
      </w:pPr>
    </w:p>
    <w:p w14:paraId="0172B013" w14:textId="49692321" w:rsidR="00C54AE8" w:rsidRPr="00C54AE8" w:rsidRDefault="00C54AE8" w:rsidP="00C54AE8">
      <w:pPr>
        <w:ind w:left="720" w:firstLine="720"/>
        <w:rPr>
          <w:rFonts w:ascii="Georgia" w:hAnsi="Georgia" w:cs="Times New Roman"/>
          <w:sz w:val="24"/>
          <w:szCs w:val="24"/>
        </w:rPr>
      </w:pPr>
      <w:r w:rsidRPr="00C54AE8">
        <w:rPr>
          <w:noProof/>
          <w:lang w:eastAsia="hu-HU"/>
        </w:rPr>
        <w:drawing>
          <wp:anchor distT="0" distB="0" distL="114300" distR="114300" simplePos="0" relativeHeight="251752448" behindDoc="0" locked="0" layoutInCell="1" allowOverlap="1" wp14:anchorId="41598A3F" wp14:editId="34588A7D">
            <wp:simplePos x="0" y="0"/>
            <wp:positionH relativeFrom="column">
              <wp:posOffset>2998470</wp:posOffset>
            </wp:positionH>
            <wp:positionV relativeFrom="paragraph">
              <wp:posOffset>2233295</wp:posOffset>
            </wp:positionV>
            <wp:extent cx="2362200" cy="1117600"/>
            <wp:effectExtent l="0" t="0" r="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0" cy="1117600"/>
                    </a:xfrm>
                    <a:prstGeom prst="rect">
                      <a:avLst/>
                    </a:prstGeom>
                    <a:noFill/>
                    <a:ln>
                      <a:noFill/>
                    </a:ln>
                  </pic:spPr>
                </pic:pic>
              </a:graphicData>
            </a:graphic>
            <wp14:sizeRelH relativeFrom="margin">
              <wp14:pctWidth>0</wp14:pctWidth>
            </wp14:sizeRelH>
          </wp:anchor>
        </w:drawing>
      </w:r>
      <w:r w:rsidRPr="00C54AE8">
        <w:rPr>
          <w:noProof/>
          <w:lang w:eastAsia="hu-HU"/>
        </w:rPr>
        <w:drawing>
          <wp:anchor distT="0" distB="0" distL="114300" distR="114300" simplePos="0" relativeHeight="251749376" behindDoc="0" locked="0" layoutInCell="1" allowOverlap="1" wp14:anchorId="62C5E71A" wp14:editId="332F3031">
            <wp:simplePos x="0" y="0"/>
            <wp:positionH relativeFrom="column">
              <wp:posOffset>306070</wp:posOffset>
            </wp:positionH>
            <wp:positionV relativeFrom="paragraph">
              <wp:posOffset>238760</wp:posOffset>
            </wp:positionV>
            <wp:extent cx="2298700" cy="1473200"/>
            <wp:effectExtent l="0" t="0" r="635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8700" cy="1473200"/>
                    </a:xfrm>
                    <a:prstGeom prst="rect">
                      <a:avLst/>
                    </a:prstGeom>
                    <a:noFill/>
                    <a:ln>
                      <a:noFill/>
                    </a:ln>
                  </pic:spPr>
                </pic:pic>
              </a:graphicData>
            </a:graphic>
            <wp14:sizeRelH relativeFrom="margin">
              <wp14:pctWidth>0</wp14:pctWidth>
            </wp14:sizeRelH>
          </wp:anchor>
        </w:drawing>
      </w:r>
      <w:r w:rsidRPr="00C54AE8">
        <w:rPr>
          <w:noProof/>
          <w:lang w:eastAsia="hu-HU"/>
        </w:rPr>
        <w:drawing>
          <wp:anchor distT="0" distB="0" distL="114300" distR="114300" simplePos="0" relativeHeight="251750400" behindDoc="0" locked="0" layoutInCell="1" allowOverlap="1" wp14:anchorId="6A1F0EEF" wp14:editId="42C3FDA5">
            <wp:simplePos x="0" y="0"/>
            <wp:positionH relativeFrom="column">
              <wp:posOffset>2998470</wp:posOffset>
            </wp:positionH>
            <wp:positionV relativeFrom="paragraph">
              <wp:posOffset>251460</wp:posOffset>
            </wp:positionV>
            <wp:extent cx="2362200" cy="111760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117600"/>
                    </a:xfrm>
                    <a:prstGeom prst="rect">
                      <a:avLst/>
                    </a:prstGeom>
                    <a:noFill/>
                    <a:ln>
                      <a:noFill/>
                    </a:ln>
                  </pic:spPr>
                </pic:pic>
              </a:graphicData>
            </a:graphic>
            <wp14:sizeRelH relativeFrom="margin">
              <wp14:pctWidth>0</wp14:pctWidth>
            </wp14:sizeRelH>
          </wp:anchor>
        </w:drawing>
      </w:r>
      <w:r w:rsidRPr="0094138F">
        <w:rPr>
          <w:rFonts w:ascii="Georgia" w:hAnsi="Georgia" w:cs="Times New Roman"/>
          <w:b/>
          <w:bCs/>
          <w:sz w:val="18"/>
          <w:szCs w:val="18"/>
        </w:rPr>
        <w:t>Energia</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Pénzüg</w:t>
      </w:r>
      <w:r>
        <w:rPr>
          <w:rFonts w:ascii="Georgia" w:hAnsi="Georgia" w:cs="Times New Roman"/>
          <w:b/>
          <w:bCs/>
          <w:sz w:val="18"/>
          <w:szCs w:val="18"/>
        </w:rPr>
        <w:t>y</w:t>
      </w:r>
    </w:p>
    <w:p w14:paraId="5C85926B" w14:textId="6A73E99E" w:rsidR="00C54AE8" w:rsidRPr="00C54AE8" w:rsidRDefault="00C54AE8" w:rsidP="00C54AE8">
      <w:pPr>
        <w:rPr>
          <w:rFonts w:ascii="Georgia" w:hAnsi="Georgia" w:cs="Times New Roman"/>
          <w:sz w:val="24"/>
          <w:szCs w:val="24"/>
        </w:rPr>
      </w:pPr>
    </w:p>
    <w:p w14:paraId="72BCCB8F" w14:textId="3711B3A1" w:rsidR="00C54AE8" w:rsidRDefault="00C54AE8" w:rsidP="00C54AE8">
      <w:pPr>
        <w:rPr>
          <w:rFonts w:ascii="Georgia" w:hAnsi="Georgia" w:cs="Times New Roman"/>
          <w:sz w:val="24"/>
          <w:szCs w:val="24"/>
        </w:rPr>
      </w:pPr>
    </w:p>
    <w:p w14:paraId="3D24EAED" w14:textId="03E596D4" w:rsidR="00C54AE8" w:rsidRDefault="00C54AE8" w:rsidP="00C54AE8">
      <w:pPr>
        <w:ind w:left="720" w:firstLine="720"/>
        <w:rPr>
          <w:rFonts w:ascii="Georgia" w:hAnsi="Georgia" w:cs="Times New Roman"/>
          <w:b/>
          <w:bCs/>
          <w:sz w:val="18"/>
          <w:szCs w:val="18"/>
        </w:rPr>
      </w:pPr>
      <w:r w:rsidRPr="00C54AE8">
        <w:rPr>
          <w:noProof/>
          <w:lang w:eastAsia="hu-HU"/>
        </w:rPr>
        <w:drawing>
          <wp:anchor distT="0" distB="0" distL="114300" distR="114300" simplePos="0" relativeHeight="251751424" behindDoc="0" locked="0" layoutInCell="1" allowOverlap="1" wp14:anchorId="2431F42F" wp14:editId="6C92D339">
            <wp:simplePos x="0" y="0"/>
            <wp:positionH relativeFrom="column">
              <wp:posOffset>306070</wp:posOffset>
            </wp:positionH>
            <wp:positionV relativeFrom="paragraph">
              <wp:posOffset>280670</wp:posOffset>
            </wp:positionV>
            <wp:extent cx="2298700" cy="1117600"/>
            <wp:effectExtent l="0" t="0" r="6350"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8700" cy="1117600"/>
                    </a:xfrm>
                    <a:prstGeom prst="rect">
                      <a:avLst/>
                    </a:prstGeom>
                    <a:noFill/>
                    <a:ln>
                      <a:noFill/>
                    </a:ln>
                  </pic:spPr>
                </pic:pic>
              </a:graphicData>
            </a:graphic>
            <wp14:sizeRelH relativeFrom="margin">
              <wp14:pctWidth>0</wp14:pctWidth>
            </wp14:sizeRelH>
          </wp:anchor>
        </w:drawing>
      </w:r>
      <w:r>
        <w:rPr>
          <w:rFonts w:ascii="Georgia" w:hAnsi="Georgia" w:cs="Times New Roman"/>
          <w:b/>
          <w:bCs/>
          <w:sz w:val="18"/>
          <w:szCs w:val="18"/>
        </w:rPr>
        <w:t>I</w:t>
      </w:r>
      <w:r w:rsidRPr="0094138F">
        <w:rPr>
          <w:rFonts w:ascii="Georgia" w:hAnsi="Georgia" w:cs="Times New Roman"/>
          <w:b/>
          <w:bCs/>
          <w:sz w:val="18"/>
          <w:szCs w:val="18"/>
        </w:rPr>
        <w:t>pari termékek</w:t>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sidRPr="0094138F">
        <w:rPr>
          <w:rFonts w:ascii="Georgia" w:hAnsi="Georgia" w:cs="Times New Roman"/>
          <w:b/>
          <w:bCs/>
          <w:sz w:val="18"/>
          <w:szCs w:val="18"/>
        </w:rPr>
        <w:t>Egészségüg</w:t>
      </w:r>
      <w:r>
        <w:rPr>
          <w:rFonts w:ascii="Georgia" w:hAnsi="Georgia" w:cs="Times New Roman"/>
          <w:b/>
          <w:bCs/>
          <w:sz w:val="18"/>
          <w:szCs w:val="18"/>
        </w:rPr>
        <w:t>y</w:t>
      </w:r>
    </w:p>
    <w:p w14:paraId="4FC3EC13" w14:textId="6E2EB86E" w:rsidR="00C54AE8" w:rsidRDefault="00C54AE8" w:rsidP="00C54AE8">
      <w:pPr>
        <w:rPr>
          <w:rFonts w:ascii="Georgia" w:hAnsi="Georgia" w:cs="Times New Roman"/>
          <w:b/>
          <w:bCs/>
          <w:sz w:val="18"/>
          <w:szCs w:val="18"/>
        </w:rPr>
      </w:pPr>
    </w:p>
    <w:p w14:paraId="1C81D5E8" w14:textId="757361D0" w:rsidR="00C54AE8" w:rsidRDefault="00C54AE8" w:rsidP="00C54AE8">
      <w:pPr>
        <w:tabs>
          <w:tab w:val="left" w:pos="1400"/>
        </w:tabs>
        <w:rPr>
          <w:rFonts w:ascii="Georgia" w:hAnsi="Georgia" w:cs="Times New Roman"/>
          <w:sz w:val="24"/>
          <w:szCs w:val="24"/>
        </w:rPr>
      </w:pPr>
    </w:p>
    <w:p w14:paraId="667C5AC0" w14:textId="4BB2710F" w:rsidR="00F77B2D" w:rsidRDefault="00F77B2D" w:rsidP="00C54AE8">
      <w:pPr>
        <w:tabs>
          <w:tab w:val="left" w:pos="1400"/>
        </w:tabs>
        <w:rPr>
          <w:rFonts w:ascii="Georgia" w:hAnsi="Georgia" w:cs="Times New Roman"/>
          <w:sz w:val="24"/>
          <w:szCs w:val="24"/>
        </w:rPr>
      </w:pPr>
    </w:p>
    <w:p w14:paraId="17A82937" w14:textId="2941D183" w:rsidR="00F77B2D" w:rsidRDefault="00F77B2D" w:rsidP="00C54AE8">
      <w:pPr>
        <w:tabs>
          <w:tab w:val="left" w:pos="1400"/>
        </w:tabs>
        <w:rPr>
          <w:rFonts w:ascii="Georgia" w:hAnsi="Georgia" w:cs="Times New Roman"/>
          <w:sz w:val="24"/>
          <w:szCs w:val="24"/>
        </w:rPr>
      </w:pPr>
    </w:p>
    <w:p w14:paraId="5D0F60B6" w14:textId="31FE02F4" w:rsidR="00F77B2D" w:rsidRDefault="00F77B2D" w:rsidP="00C54AE8">
      <w:pPr>
        <w:tabs>
          <w:tab w:val="left" w:pos="1400"/>
        </w:tabs>
        <w:rPr>
          <w:rFonts w:ascii="Georgia" w:hAnsi="Georgia" w:cs="Times New Roman"/>
          <w:sz w:val="24"/>
          <w:szCs w:val="24"/>
        </w:rPr>
      </w:pPr>
    </w:p>
    <w:p w14:paraId="221CE144" w14:textId="3CFFD8B1" w:rsidR="00F77B2D" w:rsidRPr="00F77B2D" w:rsidRDefault="00F77B2D" w:rsidP="00FF7AC9">
      <w:pPr>
        <w:pStyle w:val="Listaszerbekezds"/>
        <w:numPr>
          <w:ilvl w:val="0"/>
          <w:numId w:val="6"/>
        </w:numPr>
        <w:tabs>
          <w:tab w:val="left" w:pos="1400"/>
        </w:tabs>
        <w:spacing w:after="120"/>
        <w:rPr>
          <w:rFonts w:ascii="Georgia" w:hAnsi="Georgia" w:cs="Times New Roman"/>
          <w:sz w:val="24"/>
          <w:szCs w:val="24"/>
        </w:rPr>
      </w:pPr>
      <w:r w:rsidRPr="00F77B2D">
        <w:rPr>
          <w:rFonts w:ascii="Georgia" w:hAnsi="Georgia" w:cs="Times New Roman"/>
          <w:b/>
          <w:bCs/>
          <w:sz w:val="24"/>
          <w:szCs w:val="24"/>
        </w:rPr>
        <w:lastRenderedPageBreak/>
        <w:t xml:space="preserve">sz. melléklet – A korrelációvizsgálat eredményei a vállalatméret és a földrajzi elhelyezkedés tekintetében </w:t>
      </w:r>
    </w:p>
    <w:p w14:paraId="3E28E3FB" w14:textId="639F0C92" w:rsidR="00F77B2D" w:rsidRDefault="00F77B2D" w:rsidP="00F77B2D">
      <w:pPr>
        <w:tabs>
          <w:tab w:val="left" w:pos="1400"/>
        </w:tabs>
        <w:spacing w:after="120"/>
        <w:rPr>
          <w:rFonts w:ascii="Georgia" w:hAnsi="Georgia" w:cs="Times New Roman"/>
          <w:sz w:val="24"/>
          <w:szCs w:val="24"/>
        </w:rPr>
      </w:pPr>
    </w:p>
    <w:p w14:paraId="67B22CAE" w14:textId="25203A42" w:rsidR="00F77B2D" w:rsidRPr="00F77B2D" w:rsidRDefault="00F77B2D" w:rsidP="00F77B2D">
      <w:pPr>
        <w:tabs>
          <w:tab w:val="left" w:pos="1400"/>
        </w:tabs>
        <w:spacing w:after="120"/>
        <w:rPr>
          <w:rFonts w:ascii="Georgia" w:hAnsi="Georgia" w:cs="Times New Roman"/>
          <w:b/>
          <w:bCs/>
          <w:sz w:val="20"/>
          <w:szCs w:val="20"/>
        </w:rPr>
      </w:pPr>
      <w:r w:rsidRPr="00F77B2D">
        <w:rPr>
          <w:b/>
          <w:bCs/>
          <w:noProof/>
          <w:sz w:val="20"/>
          <w:szCs w:val="20"/>
          <w:lang w:eastAsia="hu-HU"/>
        </w:rPr>
        <w:drawing>
          <wp:anchor distT="0" distB="0" distL="114300" distR="114300" simplePos="0" relativeHeight="251753472" behindDoc="0" locked="0" layoutInCell="1" allowOverlap="1" wp14:anchorId="72F94B77" wp14:editId="36CDEFBC">
            <wp:simplePos x="0" y="0"/>
            <wp:positionH relativeFrom="column">
              <wp:posOffset>669925</wp:posOffset>
            </wp:positionH>
            <wp:positionV relativeFrom="paragraph">
              <wp:posOffset>266065</wp:posOffset>
            </wp:positionV>
            <wp:extent cx="3352800" cy="13716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0" cy="1371600"/>
                    </a:xfrm>
                    <a:prstGeom prst="rect">
                      <a:avLst/>
                    </a:prstGeom>
                    <a:noFill/>
                    <a:ln>
                      <a:noFill/>
                    </a:ln>
                  </pic:spPr>
                </pic:pic>
              </a:graphicData>
            </a:graphic>
          </wp:anchor>
        </w:drawing>
      </w:r>
      <w:r w:rsidRPr="00F77B2D">
        <w:rPr>
          <w:rFonts w:ascii="Georgia" w:hAnsi="Georgia" w:cs="Times New Roman"/>
          <w:b/>
          <w:bCs/>
          <w:sz w:val="20"/>
          <w:szCs w:val="20"/>
        </w:rPr>
        <w:t>Vállalatméret</w:t>
      </w:r>
    </w:p>
    <w:p w14:paraId="5509AF5C" w14:textId="6067B2E4" w:rsidR="00F77B2D" w:rsidRDefault="00F77B2D" w:rsidP="00F77B2D">
      <w:pPr>
        <w:tabs>
          <w:tab w:val="left" w:pos="1400"/>
        </w:tabs>
        <w:spacing w:after="120"/>
        <w:rPr>
          <w:rFonts w:ascii="Georgia" w:hAnsi="Georgia" w:cs="Times New Roman"/>
          <w:sz w:val="24"/>
          <w:szCs w:val="24"/>
        </w:rPr>
      </w:pPr>
    </w:p>
    <w:p w14:paraId="0546C885" w14:textId="07875B2E" w:rsidR="00F77B2D" w:rsidRPr="00F77B2D" w:rsidRDefault="00F77B2D" w:rsidP="00F77B2D">
      <w:pPr>
        <w:rPr>
          <w:rFonts w:ascii="Georgia" w:hAnsi="Georgia" w:cs="Times New Roman"/>
          <w:sz w:val="24"/>
          <w:szCs w:val="24"/>
        </w:rPr>
      </w:pPr>
    </w:p>
    <w:p w14:paraId="6EC1A469" w14:textId="15CD52E6" w:rsidR="00F77B2D" w:rsidRPr="00F77B2D" w:rsidRDefault="00F77B2D" w:rsidP="00F77B2D">
      <w:pPr>
        <w:rPr>
          <w:rFonts w:ascii="Georgia" w:hAnsi="Georgia" w:cs="Times New Roman"/>
          <w:sz w:val="24"/>
          <w:szCs w:val="24"/>
        </w:rPr>
      </w:pPr>
    </w:p>
    <w:p w14:paraId="00F1F3B0" w14:textId="5D1E47E8" w:rsidR="00F77B2D" w:rsidRPr="00F77B2D" w:rsidRDefault="00F77B2D" w:rsidP="00F77B2D">
      <w:pPr>
        <w:rPr>
          <w:rFonts w:ascii="Georgia" w:hAnsi="Georgia" w:cs="Times New Roman"/>
          <w:sz w:val="24"/>
          <w:szCs w:val="24"/>
        </w:rPr>
      </w:pPr>
    </w:p>
    <w:p w14:paraId="6D3F9A59" w14:textId="3C114AEF" w:rsidR="00F77B2D" w:rsidRDefault="00F77B2D" w:rsidP="00F77B2D">
      <w:pPr>
        <w:ind w:firstLine="720"/>
        <w:rPr>
          <w:rFonts w:ascii="Georgia" w:hAnsi="Georgia" w:cs="Times New Roman"/>
          <w:sz w:val="24"/>
          <w:szCs w:val="24"/>
        </w:rPr>
      </w:pPr>
    </w:p>
    <w:p w14:paraId="7E747D60" w14:textId="55FAC1D0" w:rsidR="00F77B2D" w:rsidRDefault="00F77B2D" w:rsidP="00F77B2D">
      <w:pPr>
        <w:ind w:firstLine="720"/>
        <w:rPr>
          <w:rFonts w:ascii="Georgia" w:hAnsi="Georgia" w:cs="Times New Roman"/>
          <w:sz w:val="24"/>
          <w:szCs w:val="24"/>
        </w:rPr>
      </w:pPr>
    </w:p>
    <w:p w14:paraId="0FEA1ECF" w14:textId="35933D1D" w:rsidR="00F77B2D" w:rsidRDefault="00F77B2D" w:rsidP="00F77B2D">
      <w:pPr>
        <w:tabs>
          <w:tab w:val="left" w:pos="1400"/>
        </w:tabs>
        <w:spacing w:after="120"/>
        <w:rPr>
          <w:rFonts w:ascii="Georgia" w:hAnsi="Georgia" w:cs="Times New Roman"/>
          <w:b/>
          <w:bCs/>
          <w:sz w:val="20"/>
          <w:szCs w:val="20"/>
        </w:rPr>
      </w:pPr>
      <w:r w:rsidRPr="00F77B2D">
        <w:rPr>
          <w:noProof/>
          <w:lang w:eastAsia="hu-HU"/>
        </w:rPr>
        <w:drawing>
          <wp:anchor distT="0" distB="0" distL="114300" distR="114300" simplePos="0" relativeHeight="251754496" behindDoc="0" locked="0" layoutInCell="1" allowOverlap="1" wp14:anchorId="592FE183" wp14:editId="452002CD">
            <wp:simplePos x="0" y="0"/>
            <wp:positionH relativeFrom="column">
              <wp:posOffset>695325</wp:posOffset>
            </wp:positionH>
            <wp:positionV relativeFrom="paragraph">
              <wp:posOffset>233680</wp:posOffset>
            </wp:positionV>
            <wp:extent cx="3327400" cy="1346200"/>
            <wp:effectExtent l="0" t="0" r="635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0" cy="1346200"/>
                    </a:xfrm>
                    <a:prstGeom prst="rect">
                      <a:avLst/>
                    </a:prstGeom>
                    <a:noFill/>
                    <a:ln>
                      <a:noFill/>
                    </a:ln>
                  </pic:spPr>
                </pic:pic>
              </a:graphicData>
            </a:graphic>
          </wp:anchor>
        </w:drawing>
      </w:r>
      <w:r w:rsidRPr="00F77B2D">
        <w:rPr>
          <w:rFonts w:ascii="Georgia" w:hAnsi="Georgia" w:cs="Times New Roman"/>
          <w:b/>
          <w:bCs/>
          <w:sz w:val="20"/>
          <w:szCs w:val="20"/>
        </w:rPr>
        <w:t>Földrajzi elhelyezkedés</w:t>
      </w:r>
    </w:p>
    <w:p w14:paraId="15D444AE" w14:textId="764E5156" w:rsidR="00F77B2D" w:rsidRPr="00F77B2D" w:rsidRDefault="00F77B2D" w:rsidP="00F77B2D">
      <w:pPr>
        <w:tabs>
          <w:tab w:val="left" w:pos="1400"/>
        </w:tabs>
        <w:spacing w:after="120"/>
        <w:rPr>
          <w:rFonts w:ascii="Georgia" w:hAnsi="Georgia" w:cs="Times New Roman"/>
          <w:b/>
          <w:bCs/>
          <w:sz w:val="20"/>
          <w:szCs w:val="20"/>
        </w:rPr>
      </w:pPr>
    </w:p>
    <w:sectPr w:rsidR="00F77B2D" w:rsidRPr="00F77B2D" w:rsidSect="00145994">
      <w:footerReference w:type="default" r:id="rId62"/>
      <w:type w:val="evenPage"/>
      <w:pgSz w:w="11906" w:h="16838"/>
      <w:pgMar w:top="1418" w:right="1418" w:bottom="1418" w:left="1418" w:header="709" w:footer="709" w:gutter="567"/>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F3B64" w14:textId="77777777" w:rsidR="00AF1C02" w:rsidRDefault="00AF1C02">
      <w:pPr>
        <w:spacing w:after="0" w:line="240" w:lineRule="auto"/>
      </w:pPr>
      <w:r>
        <w:separator/>
      </w:r>
    </w:p>
  </w:endnote>
  <w:endnote w:type="continuationSeparator" w:id="0">
    <w:p w14:paraId="1FBA6D12" w14:textId="77777777" w:rsidR="00AF1C02" w:rsidRDefault="00AF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657199"/>
      <w:docPartObj>
        <w:docPartGallery w:val="Page Numbers (Bottom of Page)"/>
        <w:docPartUnique/>
      </w:docPartObj>
    </w:sdtPr>
    <w:sdtEndPr/>
    <w:sdtContent>
      <w:p w14:paraId="59574038" w14:textId="148DB7C5" w:rsidR="009E4186" w:rsidRDefault="00AF1C02">
        <w:pPr>
          <w:pStyle w:val="llb"/>
          <w:jc w:val="right"/>
        </w:pPr>
      </w:p>
    </w:sdtContent>
  </w:sdt>
  <w:p w14:paraId="03479172" w14:textId="77777777" w:rsidR="009E4186" w:rsidRDefault="009E418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30589" w14:textId="7398ED0C" w:rsidR="0035351E" w:rsidRDefault="0035351E">
    <w:pPr>
      <w:pStyle w:val="llb"/>
      <w:jc w:val="right"/>
    </w:pPr>
  </w:p>
  <w:p w14:paraId="6EA6EAE1" w14:textId="77777777" w:rsidR="0035351E" w:rsidRDefault="0035351E">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608781"/>
      <w:docPartObj>
        <w:docPartGallery w:val="Page Numbers (Bottom of Page)"/>
        <w:docPartUnique/>
      </w:docPartObj>
    </w:sdtPr>
    <w:sdtEndPr/>
    <w:sdtContent>
      <w:p w14:paraId="046A47B3" w14:textId="14036EB2" w:rsidR="00145994" w:rsidRDefault="00145994">
        <w:pPr>
          <w:pStyle w:val="llb"/>
          <w:jc w:val="right"/>
        </w:pPr>
        <w:r w:rsidRPr="00145994">
          <w:rPr>
            <w:rFonts w:ascii="Georgia" w:hAnsi="Georgia"/>
          </w:rPr>
          <w:fldChar w:fldCharType="begin"/>
        </w:r>
        <w:r w:rsidRPr="00145994">
          <w:rPr>
            <w:rFonts w:ascii="Georgia" w:hAnsi="Georgia"/>
          </w:rPr>
          <w:instrText>PAGE   \* MERGEFORMAT</w:instrText>
        </w:r>
        <w:r w:rsidRPr="00145994">
          <w:rPr>
            <w:rFonts w:ascii="Georgia" w:hAnsi="Georgia"/>
          </w:rPr>
          <w:fldChar w:fldCharType="separate"/>
        </w:r>
        <w:r w:rsidR="003D413A">
          <w:rPr>
            <w:rFonts w:ascii="Georgia" w:hAnsi="Georgia"/>
            <w:noProof/>
          </w:rPr>
          <w:t>20</w:t>
        </w:r>
        <w:r w:rsidRPr="00145994">
          <w:rPr>
            <w:rFonts w:ascii="Georgia" w:hAnsi="Georgia"/>
          </w:rPr>
          <w:fldChar w:fldCharType="end"/>
        </w:r>
      </w:p>
    </w:sdtContent>
  </w:sdt>
  <w:p w14:paraId="55510012" w14:textId="77777777" w:rsidR="00145994" w:rsidRDefault="0014599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DA99A" w14:textId="77777777" w:rsidR="00AF1C02" w:rsidRDefault="00AF1C02">
      <w:pPr>
        <w:spacing w:after="0" w:line="240" w:lineRule="auto"/>
      </w:pPr>
      <w:r>
        <w:separator/>
      </w:r>
    </w:p>
  </w:footnote>
  <w:footnote w:type="continuationSeparator" w:id="0">
    <w:p w14:paraId="1DC53D39" w14:textId="77777777" w:rsidR="00AF1C02" w:rsidRDefault="00AF1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475A8"/>
    <w:multiLevelType w:val="hybridMultilevel"/>
    <w:tmpl w:val="33464E90"/>
    <w:lvl w:ilvl="0" w:tplc="6248E188">
      <w:start w:val="1"/>
      <w:numFmt w:val="decimal"/>
      <w:lvlText w:val="%1."/>
      <w:lvlJc w:val="left"/>
      <w:pPr>
        <w:ind w:left="1069" w:hanging="360"/>
      </w:pPr>
      <w:rPr>
        <w:rFonts w:hint="default"/>
        <w:b/>
        <w:bCs/>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 w15:restartNumberingAfterBreak="0">
    <w:nsid w:val="22A706B9"/>
    <w:multiLevelType w:val="multilevel"/>
    <w:tmpl w:val="909E92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A9736F"/>
    <w:multiLevelType w:val="hybridMultilevel"/>
    <w:tmpl w:val="5B80B060"/>
    <w:lvl w:ilvl="0" w:tplc="CB7A882A">
      <w:start w:val="1"/>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9F37B3D"/>
    <w:multiLevelType w:val="hybridMultilevel"/>
    <w:tmpl w:val="48C4F860"/>
    <w:lvl w:ilvl="0" w:tplc="BA74A44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846EE5"/>
    <w:multiLevelType w:val="hybridMultilevel"/>
    <w:tmpl w:val="111EEF9E"/>
    <w:lvl w:ilvl="0" w:tplc="11CAF75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A0E6164"/>
    <w:multiLevelType w:val="multilevel"/>
    <w:tmpl w:val="226257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3376025"/>
    <w:multiLevelType w:val="hybridMultilevel"/>
    <w:tmpl w:val="5D4ED446"/>
    <w:lvl w:ilvl="0" w:tplc="05526786">
      <w:start w:val="1"/>
      <w:numFmt w:val="decimal"/>
      <w:lvlText w:val="%1."/>
      <w:lvlJc w:val="left"/>
      <w:pPr>
        <w:ind w:left="717" w:hanging="360"/>
      </w:pPr>
      <w:rPr>
        <w:rFonts w:hint="default"/>
        <w:b/>
        <w:bCs/>
      </w:rPr>
    </w:lvl>
    <w:lvl w:ilvl="1" w:tplc="040E0015">
      <w:start w:val="1"/>
      <w:numFmt w:val="upperLetter"/>
      <w:lvlText w:val="%2."/>
      <w:lvlJc w:val="left"/>
      <w:pPr>
        <w:ind w:left="1437" w:hanging="360"/>
      </w:pPr>
    </w:lvl>
    <w:lvl w:ilvl="2" w:tplc="040E001B">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num w:numId="1">
    <w:abstractNumId w:val="1"/>
  </w:num>
  <w:num w:numId="2">
    <w:abstractNumId w:val="3"/>
  </w:num>
  <w:num w:numId="3">
    <w:abstractNumId w:val="5"/>
  </w:num>
  <w:num w:numId="4">
    <w:abstractNumId w:val="4"/>
  </w:num>
  <w:num w:numId="5">
    <w:abstractNumId w:val="2"/>
  </w:num>
  <w:num w:numId="6">
    <w:abstractNumId w:val="6"/>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9"/>
    <w:rsid w:val="000000C3"/>
    <w:rsid w:val="00000F9C"/>
    <w:rsid w:val="0000267D"/>
    <w:rsid w:val="00004447"/>
    <w:rsid w:val="00004E6B"/>
    <w:rsid w:val="00005066"/>
    <w:rsid w:val="000203CC"/>
    <w:rsid w:val="00020A32"/>
    <w:rsid w:val="00021707"/>
    <w:rsid w:val="00022081"/>
    <w:rsid w:val="0002279B"/>
    <w:rsid w:val="00022A46"/>
    <w:rsid w:val="00026FF0"/>
    <w:rsid w:val="00027E3A"/>
    <w:rsid w:val="000328F2"/>
    <w:rsid w:val="0003490E"/>
    <w:rsid w:val="00035E85"/>
    <w:rsid w:val="0003604A"/>
    <w:rsid w:val="00037806"/>
    <w:rsid w:val="000423CB"/>
    <w:rsid w:val="000424B5"/>
    <w:rsid w:val="000442D6"/>
    <w:rsid w:val="00045351"/>
    <w:rsid w:val="0004614C"/>
    <w:rsid w:val="00046E1B"/>
    <w:rsid w:val="0005011E"/>
    <w:rsid w:val="0005078B"/>
    <w:rsid w:val="00050AD9"/>
    <w:rsid w:val="00053A99"/>
    <w:rsid w:val="00053D1B"/>
    <w:rsid w:val="00054FC6"/>
    <w:rsid w:val="000550FA"/>
    <w:rsid w:val="00055A13"/>
    <w:rsid w:val="00055E3A"/>
    <w:rsid w:val="00056948"/>
    <w:rsid w:val="00056ED3"/>
    <w:rsid w:val="00056EF5"/>
    <w:rsid w:val="000571CC"/>
    <w:rsid w:val="000618C2"/>
    <w:rsid w:val="000624D5"/>
    <w:rsid w:val="00063544"/>
    <w:rsid w:val="00071A51"/>
    <w:rsid w:val="000726CF"/>
    <w:rsid w:val="00074FE5"/>
    <w:rsid w:val="000751F0"/>
    <w:rsid w:val="00076589"/>
    <w:rsid w:val="00077A71"/>
    <w:rsid w:val="00080644"/>
    <w:rsid w:val="00080D10"/>
    <w:rsid w:val="000900B4"/>
    <w:rsid w:val="00091757"/>
    <w:rsid w:val="0009285B"/>
    <w:rsid w:val="00093FE2"/>
    <w:rsid w:val="000941C5"/>
    <w:rsid w:val="000961FE"/>
    <w:rsid w:val="000967D3"/>
    <w:rsid w:val="000A0A59"/>
    <w:rsid w:val="000A2E02"/>
    <w:rsid w:val="000A3EA1"/>
    <w:rsid w:val="000A5A5F"/>
    <w:rsid w:val="000A7D8E"/>
    <w:rsid w:val="000B0E64"/>
    <w:rsid w:val="000B2346"/>
    <w:rsid w:val="000B2E69"/>
    <w:rsid w:val="000B76D8"/>
    <w:rsid w:val="000C0C02"/>
    <w:rsid w:val="000C2A42"/>
    <w:rsid w:val="000C5739"/>
    <w:rsid w:val="000C608A"/>
    <w:rsid w:val="000C6C3F"/>
    <w:rsid w:val="000C776F"/>
    <w:rsid w:val="000C7BF3"/>
    <w:rsid w:val="000D1D26"/>
    <w:rsid w:val="000D1FA7"/>
    <w:rsid w:val="000D2CD5"/>
    <w:rsid w:val="000D469F"/>
    <w:rsid w:val="000D4FE8"/>
    <w:rsid w:val="000D561E"/>
    <w:rsid w:val="000D7A12"/>
    <w:rsid w:val="000D7A4D"/>
    <w:rsid w:val="000E110C"/>
    <w:rsid w:val="000E1B43"/>
    <w:rsid w:val="000E229D"/>
    <w:rsid w:val="000E5DB7"/>
    <w:rsid w:val="000E7CCE"/>
    <w:rsid w:val="000E7E55"/>
    <w:rsid w:val="000F135B"/>
    <w:rsid w:val="000F4C68"/>
    <w:rsid w:val="000F6B04"/>
    <w:rsid w:val="000F754E"/>
    <w:rsid w:val="00100052"/>
    <w:rsid w:val="00102E03"/>
    <w:rsid w:val="00103593"/>
    <w:rsid w:val="001043B4"/>
    <w:rsid w:val="001065F7"/>
    <w:rsid w:val="0010762E"/>
    <w:rsid w:val="00107934"/>
    <w:rsid w:val="0011129D"/>
    <w:rsid w:val="00114A07"/>
    <w:rsid w:val="00115565"/>
    <w:rsid w:val="0011682A"/>
    <w:rsid w:val="00117BC5"/>
    <w:rsid w:val="00120D50"/>
    <w:rsid w:val="00122C64"/>
    <w:rsid w:val="00123AE6"/>
    <w:rsid w:val="00131AD3"/>
    <w:rsid w:val="00134DF5"/>
    <w:rsid w:val="001363D4"/>
    <w:rsid w:val="001407E3"/>
    <w:rsid w:val="00141C88"/>
    <w:rsid w:val="00143B33"/>
    <w:rsid w:val="001446C4"/>
    <w:rsid w:val="00145994"/>
    <w:rsid w:val="001515AD"/>
    <w:rsid w:val="001517CB"/>
    <w:rsid w:val="00151ED5"/>
    <w:rsid w:val="00151FC6"/>
    <w:rsid w:val="001520BB"/>
    <w:rsid w:val="00155279"/>
    <w:rsid w:val="00156403"/>
    <w:rsid w:val="00156871"/>
    <w:rsid w:val="001570D1"/>
    <w:rsid w:val="00160883"/>
    <w:rsid w:val="00160B9E"/>
    <w:rsid w:val="0016137A"/>
    <w:rsid w:val="00162622"/>
    <w:rsid w:val="0016622B"/>
    <w:rsid w:val="001672ED"/>
    <w:rsid w:val="00167F61"/>
    <w:rsid w:val="00171F75"/>
    <w:rsid w:val="0017357E"/>
    <w:rsid w:val="00173BB5"/>
    <w:rsid w:val="001744D6"/>
    <w:rsid w:val="00174652"/>
    <w:rsid w:val="00174FB5"/>
    <w:rsid w:val="001764AD"/>
    <w:rsid w:val="0018068D"/>
    <w:rsid w:val="001808D2"/>
    <w:rsid w:val="00182504"/>
    <w:rsid w:val="001828C2"/>
    <w:rsid w:val="00182E79"/>
    <w:rsid w:val="001832BD"/>
    <w:rsid w:val="001850E2"/>
    <w:rsid w:val="00190D7E"/>
    <w:rsid w:val="00190E90"/>
    <w:rsid w:val="0019128A"/>
    <w:rsid w:val="00191C8B"/>
    <w:rsid w:val="00193380"/>
    <w:rsid w:val="00195702"/>
    <w:rsid w:val="00196A5A"/>
    <w:rsid w:val="001A61E2"/>
    <w:rsid w:val="001A68BC"/>
    <w:rsid w:val="001A6AF5"/>
    <w:rsid w:val="001B03F1"/>
    <w:rsid w:val="001B0ECF"/>
    <w:rsid w:val="001B1C09"/>
    <w:rsid w:val="001B54C6"/>
    <w:rsid w:val="001B56B6"/>
    <w:rsid w:val="001B5E8D"/>
    <w:rsid w:val="001B745F"/>
    <w:rsid w:val="001B7AB6"/>
    <w:rsid w:val="001C0DE1"/>
    <w:rsid w:val="001C4C2C"/>
    <w:rsid w:val="001C55AD"/>
    <w:rsid w:val="001D0047"/>
    <w:rsid w:val="001D02C4"/>
    <w:rsid w:val="001D48DB"/>
    <w:rsid w:val="001D742F"/>
    <w:rsid w:val="001E489F"/>
    <w:rsid w:val="001E5163"/>
    <w:rsid w:val="001E55E2"/>
    <w:rsid w:val="001E6066"/>
    <w:rsid w:val="001E61EE"/>
    <w:rsid w:val="001E6D39"/>
    <w:rsid w:val="001E741F"/>
    <w:rsid w:val="001F03EF"/>
    <w:rsid w:val="001F0C5F"/>
    <w:rsid w:val="001F1236"/>
    <w:rsid w:val="001F5527"/>
    <w:rsid w:val="001F607C"/>
    <w:rsid w:val="001F68F7"/>
    <w:rsid w:val="001F7674"/>
    <w:rsid w:val="00203022"/>
    <w:rsid w:val="002049BF"/>
    <w:rsid w:val="00204E8F"/>
    <w:rsid w:val="00206605"/>
    <w:rsid w:val="00210018"/>
    <w:rsid w:val="00210793"/>
    <w:rsid w:val="002135C9"/>
    <w:rsid w:val="00213CE8"/>
    <w:rsid w:val="002140AA"/>
    <w:rsid w:val="0021428A"/>
    <w:rsid w:val="00214468"/>
    <w:rsid w:val="00214549"/>
    <w:rsid w:val="00216D86"/>
    <w:rsid w:val="0022245B"/>
    <w:rsid w:val="00223E38"/>
    <w:rsid w:val="0022557A"/>
    <w:rsid w:val="00227F67"/>
    <w:rsid w:val="0023018B"/>
    <w:rsid w:val="00232302"/>
    <w:rsid w:val="002412C0"/>
    <w:rsid w:val="00243A68"/>
    <w:rsid w:val="00244CE0"/>
    <w:rsid w:val="0024565A"/>
    <w:rsid w:val="00245AE1"/>
    <w:rsid w:val="002502E8"/>
    <w:rsid w:val="00251E87"/>
    <w:rsid w:val="00254265"/>
    <w:rsid w:val="0025786D"/>
    <w:rsid w:val="0026200D"/>
    <w:rsid w:val="0026532A"/>
    <w:rsid w:val="00265A6C"/>
    <w:rsid w:val="00266E15"/>
    <w:rsid w:val="00270FEB"/>
    <w:rsid w:val="00271D25"/>
    <w:rsid w:val="00272B75"/>
    <w:rsid w:val="00274440"/>
    <w:rsid w:val="00275617"/>
    <w:rsid w:val="0027684A"/>
    <w:rsid w:val="0027757F"/>
    <w:rsid w:val="002800EC"/>
    <w:rsid w:val="00281B6C"/>
    <w:rsid w:val="00281B71"/>
    <w:rsid w:val="00283EF1"/>
    <w:rsid w:val="00284CB8"/>
    <w:rsid w:val="00286B8C"/>
    <w:rsid w:val="002A0634"/>
    <w:rsid w:val="002A18B0"/>
    <w:rsid w:val="002A77BC"/>
    <w:rsid w:val="002B09B0"/>
    <w:rsid w:val="002B185F"/>
    <w:rsid w:val="002B325A"/>
    <w:rsid w:val="002B3FA6"/>
    <w:rsid w:val="002B48F6"/>
    <w:rsid w:val="002B4C91"/>
    <w:rsid w:val="002B5C90"/>
    <w:rsid w:val="002B677E"/>
    <w:rsid w:val="002C0D37"/>
    <w:rsid w:val="002C25DE"/>
    <w:rsid w:val="002D1DB2"/>
    <w:rsid w:val="002D21F3"/>
    <w:rsid w:val="002D4600"/>
    <w:rsid w:val="002D477B"/>
    <w:rsid w:val="002D4C5F"/>
    <w:rsid w:val="002D5388"/>
    <w:rsid w:val="002E02E5"/>
    <w:rsid w:val="002E1989"/>
    <w:rsid w:val="002E43C8"/>
    <w:rsid w:val="002E461A"/>
    <w:rsid w:val="002E54FE"/>
    <w:rsid w:val="002E6D87"/>
    <w:rsid w:val="002F058F"/>
    <w:rsid w:val="002F05E4"/>
    <w:rsid w:val="002F089D"/>
    <w:rsid w:val="002F4969"/>
    <w:rsid w:val="002F5EDA"/>
    <w:rsid w:val="003022E8"/>
    <w:rsid w:val="00306932"/>
    <w:rsid w:val="003069D4"/>
    <w:rsid w:val="00307BC5"/>
    <w:rsid w:val="0031073B"/>
    <w:rsid w:val="00312A98"/>
    <w:rsid w:val="003167A0"/>
    <w:rsid w:val="00317189"/>
    <w:rsid w:val="00322BFA"/>
    <w:rsid w:val="00325483"/>
    <w:rsid w:val="003267E1"/>
    <w:rsid w:val="0032728F"/>
    <w:rsid w:val="00327E47"/>
    <w:rsid w:val="0033024A"/>
    <w:rsid w:val="003322C0"/>
    <w:rsid w:val="00333382"/>
    <w:rsid w:val="00333D78"/>
    <w:rsid w:val="00334D59"/>
    <w:rsid w:val="003365CD"/>
    <w:rsid w:val="0034245C"/>
    <w:rsid w:val="0034316C"/>
    <w:rsid w:val="00345258"/>
    <w:rsid w:val="00347328"/>
    <w:rsid w:val="00351709"/>
    <w:rsid w:val="0035351E"/>
    <w:rsid w:val="00356927"/>
    <w:rsid w:val="003574AC"/>
    <w:rsid w:val="00361B14"/>
    <w:rsid w:val="00362FD8"/>
    <w:rsid w:val="003649CD"/>
    <w:rsid w:val="00374AC8"/>
    <w:rsid w:val="00376AFA"/>
    <w:rsid w:val="003777BA"/>
    <w:rsid w:val="00381579"/>
    <w:rsid w:val="003847FB"/>
    <w:rsid w:val="00386E60"/>
    <w:rsid w:val="00387382"/>
    <w:rsid w:val="00393829"/>
    <w:rsid w:val="00395B3F"/>
    <w:rsid w:val="00396A70"/>
    <w:rsid w:val="00397762"/>
    <w:rsid w:val="00397CDB"/>
    <w:rsid w:val="003A1C71"/>
    <w:rsid w:val="003A22ED"/>
    <w:rsid w:val="003A2ABB"/>
    <w:rsid w:val="003A3526"/>
    <w:rsid w:val="003B02BD"/>
    <w:rsid w:val="003B07BB"/>
    <w:rsid w:val="003B13CB"/>
    <w:rsid w:val="003B2003"/>
    <w:rsid w:val="003B48F7"/>
    <w:rsid w:val="003B4EF1"/>
    <w:rsid w:val="003B568F"/>
    <w:rsid w:val="003B6BD5"/>
    <w:rsid w:val="003C09EE"/>
    <w:rsid w:val="003C0B12"/>
    <w:rsid w:val="003C2890"/>
    <w:rsid w:val="003C6B66"/>
    <w:rsid w:val="003D0985"/>
    <w:rsid w:val="003D169B"/>
    <w:rsid w:val="003D413A"/>
    <w:rsid w:val="003D560E"/>
    <w:rsid w:val="003D7545"/>
    <w:rsid w:val="003E116A"/>
    <w:rsid w:val="003E17D9"/>
    <w:rsid w:val="003E2679"/>
    <w:rsid w:val="003E2F0A"/>
    <w:rsid w:val="003E31E2"/>
    <w:rsid w:val="003E7DBB"/>
    <w:rsid w:val="003F0B4B"/>
    <w:rsid w:val="003F4385"/>
    <w:rsid w:val="003F4A9C"/>
    <w:rsid w:val="00402CC4"/>
    <w:rsid w:val="004033B4"/>
    <w:rsid w:val="00404B8D"/>
    <w:rsid w:val="00412701"/>
    <w:rsid w:val="004138C6"/>
    <w:rsid w:val="004146F2"/>
    <w:rsid w:val="00415C01"/>
    <w:rsid w:val="00416C0F"/>
    <w:rsid w:val="004201CD"/>
    <w:rsid w:val="0042057C"/>
    <w:rsid w:val="00421D8A"/>
    <w:rsid w:val="004220FA"/>
    <w:rsid w:val="004252BF"/>
    <w:rsid w:val="004300BE"/>
    <w:rsid w:val="0043433A"/>
    <w:rsid w:val="00440AB3"/>
    <w:rsid w:val="00441063"/>
    <w:rsid w:val="0045160C"/>
    <w:rsid w:val="004537CB"/>
    <w:rsid w:val="00453CD6"/>
    <w:rsid w:val="00453F16"/>
    <w:rsid w:val="00453F2F"/>
    <w:rsid w:val="00460671"/>
    <w:rsid w:val="0046200C"/>
    <w:rsid w:val="00462E32"/>
    <w:rsid w:val="0046304D"/>
    <w:rsid w:val="00465ED4"/>
    <w:rsid w:val="00466F65"/>
    <w:rsid w:val="0047028B"/>
    <w:rsid w:val="00471B9C"/>
    <w:rsid w:val="00471F84"/>
    <w:rsid w:val="00475803"/>
    <w:rsid w:val="00476666"/>
    <w:rsid w:val="00480C87"/>
    <w:rsid w:val="00481E7D"/>
    <w:rsid w:val="00483666"/>
    <w:rsid w:val="004843BC"/>
    <w:rsid w:val="00490F7E"/>
    <w:rsid w:val="0049183A"/>
    <w:rsid w:val="0049475E"/>
    <w:rsid w:val="004978CF"/>
    <w:rsid w:val="004A0817"/>
    <w:rsid w:val="004A0CEB"/>
    <w:rsid w:val="004A41B9"/>
    <w:rsid w:val="004A60B3"/>
    <w:rsid w:val="004A6CEB"/>
    <w:rsid w:val="004B031A"/>
    <w:rsid w:val="004B0C5A"/>
    <w:rsid w:val="004B18FB"/>
    <w:rsid w:val="004B3463"/>
    <w:rsid w:val="004B52CE"/>
    <w:rsid w:val="004B534B"/>
    <w:rsid w:val="004B5E84"/>
    <w:rsid w:val="004B78F8"/>
    <w:rsid w:val="004C33B3"/>
    <w:rsid w:val="004C6279"/>
    <w:rsid w:val="004C6702"/>
    <w:rsid w:val="004C75D2"/>
    <w:rsid w:val="004C7D3A"/>
    <w:rsid w:val="004D25EC"/>
    <w:rsid w:val="004D448A"/>
    <w:rsid w:val="004F23A4"/>
    <w:rsid w:val="004F3017"/>
    <w:rsid w:val="004F4B02"/>
    <w:rsid w:val="00500514"/>
    <w:rsid w:val="005011D6"/>
    <w:rsid w:val="00501C61"/>
    <w:rsid w:val="005045D0"/>
    <w:rsid w:val="00510D64"/>
    <w:rsid w:val="00510FC8"/>
    <w:rsid w:val="005110A5"/>
    <w:rsid w:val="0051203D"/>
    <w:rsid w:val="00512A16"/>
    <w:rsid w:val="00514593"/>
    <w:rsid w:val="00515584"/>
    <w:rsid w:val="00515BC1"/>
    <w:rsid w:val="00515E67"/>
    <w:rsid w:val="00517DA8"/>
    <w:rsid w:val="00523997"/>
    <w:rsid w:val="00524A77"/>
    <w:rsid w:val="00531B3D"/>
    <w:rsid w:val="00533469"/>
    <w:rsid w:val="00533C21"/>
    <w:rsid w:val="00537D9E"/>
    <w:rsid w:val="0054033F"/>
    <w:rsid w:val="00542476"/>
    <w:rsid w:val="005441A9"/>
    <w:rsid w:val="00545F9A"/>
    <w:rsid w:val="00546149"/>
    <w:rsid w:val="005467BF"/>
    <w:rsid w:val="00550D30"/>
    <w:rsid w:val="00555907"/>
    <w:rsid w:val="00556C20"/>
    <w:rsid w:val="00561C0E"/>
    <w:rsid w:val="00563367"/>
    <w:rsid w:val="00564BA6"/>
    <w:rsid w:val="00564FB0"/>
    <w:rsid w:val="005652E2"/>
    <w:rsid w:val="00566742"/>
    <w:rsid w:val="00566C9B"/>
    <w:rsid w:val="0057386D"/>
    <w:rsid w:val="0057508E"/>
    <w:rsid w:val="00575CF8"/>
    <w:rsid w:val="00576E88"/>
    <w:rsid w:val="005839B9"/>
    <w:rsid w:val="00584FD2"/>
    <w:rsid w:val="00585118"/>
    <w:rsid w:val="00590D8E"/>
    <w:rsid w:val="005920E9"/>
    <w:rsid w:val="005A1500"/>
    <w:rsid w:val="005A18F6"/>
    <w:rsid w:val="005A1D91"/>
    <w:rsid w:val="005A398F"/>
    <w:rsid w:val="005A3BFB"/>
    <w:rsid w:val="005A3CDD"/>
    <w:rsid w:val="005A43D2"/>
    <w:rsid w:val="005A7574"/>
    <w:rsid w:val="005A799B"/>
    <w:rsid w:val="005B0F74"/>
    <w:rsid w:val="005B6BA3"/>
    <w:rsid w:val="005B6C8E"/>
    <w:rsid w:val="005C028B"/>
    <w:rsid w:val="005C0E45"/>
    <w:rsid w:val="005C5A90"/>
    <w:rsid w:val="005C666F"/>
    <w:rsid w:val="005C7422"/>
    <w:rsid w:val="005D154A"/>
    <w:rsid w:val="005D7AC2"/>
    <w:rsid w:val="005E0DEC"/>
    <w:rsid w:val="005E65B6"/>
    <w:rsid w:val="005F011D"/>
    <w:rsid w:val="005F27CA"/>
    <w:rsid w:val="005F4965"/>
    <w:rsid w:val="005F4BC1"/>
    <w:rsid w:val="005F6E8A"/>
    <w:rsid w:val="00603010"/>
    <w:rsid w:val="006031F9"/>
    <w:rsid w:val="006059D8"/>
    <w:rsid w:val="00606070"/>
    <w:rsid w:val="0060794D"/>
    <w:rsid w:val="00610179"/>
    <w:rsid w:val="00610F31"/>
    <w:rsid w:val="00612E94"/>
    <w:rsid w:val="00614224"/>
    <w:rsid w:val="00614234"/>
    <w:rsid w:val="00623886"/>
    <w:rsid w:val="00623F0F"/>
    <w:rsid w:val="00624AC8"/>
    <w:rsid w:val="0062525D"/>
    <w:rsid w:val="006258FF"/>
    <w:rsid w:val="00626B4D"/>
    <w:rsid w:val="00626BBD"/>
    <w:rsid w:val="00626E9F"/>
    <w:rsid w:val="00630F0D"/>
    <w:rsid w:val="00634801"/>
    <w:rsid w:val="00640E73"/>
    <w:rsid w:val="006434BA"/>
    <w:rsid w:val="00644866"/>
    <w:rsid w:val="0064538D"/>
    <w:rsid w:val="0064643A"/>
    <w:rsid w:val="00647F0B"/>
    <w:rsid w:val="00655E7E"/>
    <w:rsid w:val="006568D7"/>
    <w:rsid w:val="00657435"/>
    <w:rsid w:val="00660808"/>
    <w:rsid w:val="00664224"/>
    <w:rsid w:val="00664276"/>
    <w:rsid w:val="006659C9"/>
    <w:rsid w:val="00667590"/>
    <w:rsid w:val="00667760"/>
    <w:rsid w:val="0067000F"/>
    <w:rsid w:val="0067010E"/>
    <w:rsid w:val="00671E23"/>
    <w:rsid w:val="00672B57"/>
    <w:rsid w:val="00675ADC"/>
    <w:rsid w:val="00676095"/>
    <w:rsid w:val="006768E8"/>
    <w:rsid w:val="00677273"/>
    <w:rsid w:val="00681D29"/>
    <w:rsid w:val="00681E62"/>
    <w:rsid w:val="006833F2"/>
    <w:rsid w:val="006835F6"/>
    <w:rsid w:val="00685CCB"/>
    <w:rsid w:val="00687BD4"/>
    <w:rsid w:val="006907A9"/>
    <w:rsid w:val="00690A3C"/>
    <w:rsid w:val="00694E09"/>
    <w:rsid w:val="006B005E"/>
    <w:rsid w:val="006B1FDF"/>
    <w:rsid w:val="006B2A16"/>
    <w:rsid w:val="006B3295"/>
    <w:rsid w:val="006B4289"/>
    <w:rsid w:val="006B4AB2"/>
    <w:rsid w:val="006B5F63"/>
    <w:rsid w:val="006B6185"/>
    <w:rsid w:val="006C4424"/>
    <w:rsid w:val="006C524C"/>
    <w:rsid w:val="006C5560"/>
    <w:rsid w:val="006D10DE"/>
    <w:rsid w:val="006D1FC5"/>
    <w:rsid w:val="006D4149"/>
    <w:rsid w:val="006D4CB2"/>
    <w:rsid w:val="006D5AF5"/>
    <w:rsid w:val="006D696F"/>
    <w:rsid w:val="006D7449"/>
    <w:rsid w:val="006E06CD"/>
    <w:rsid w:val="006E09D3"/>
    <w:rsid w:val="006E265B"/>
    <w:rsid w:val="006E6144"/>
    <w:rsid w:val="006E7569"/>
    <w:rsid w:val="006E78C3"/>
    <w:rsid w:val="006F177E"/>
    <w:rsid w:val="006F25EB"/>
    <w:rsid w:val="006F3F4B"/>
    <w:rsid w:val="006F448C"/>
    <w:rsid w:val="006F69DC"/>
    <w:rsid w:val="006F74BC"/>
    <w:rsid w:val="006F7C57"/>
    <w:rsid w:val="00700737"/>
    <w:rsid w:val="00702B11"/>
    <w:rsid w:val="00710179"/>
    <w:rsid w:val="00720638"/>
    <w:rsid w:val="00722856"/>
    <w:rsid w:val="00725442"/>
    <w:rsid w:val="00727EA1"/>
    <w:rsid w:val="0073147A"/>
    <w:rsid w:val="0073407C"/>
    <w:rsid w:val="00734F4C"/>
    <w:rsid w:val="00737586"/>
    <w:rsid w:val="00741849"/>
    <w:rsid w:val="00741C14"/>
    <w:rsid w:val="00742546"/>
    <w:rsid w:val="00742A3A"/>
    <w:rsid w:val="007448B2"/>
    <w:rsid w:val="00746089"/>
    <w:rsid w:val="007463C0"/>
    <w:rsid w:val="00751767"/>
    <w:rsid w:val="007569AF"/>
    <w:rsid w:val="00757477"/>
    <w:rsid w:val="00762212"/>
    <w:rsid w:val="00763605"/>
    <w:rsid w:val="00765884"/>
    <w:rsid w:val="00766E5B"/>
    <w:rsid w:val="0077344F"/>
    <w:rsid w:val="00773D66"/>
    <w:rsid w:val="00773DAA"/>
    <w:rsid w:val="007834D7"/>
    <w:rsid w:val="007837AD"/>
    <w:rsid w:val="00784B26"/>
    <w:rsid w:val="00790EE8"/>
    <w:rsid w:val="007B019C"/>
    <w:rsid w:val="007B5503"/>
    <w:rsid w:val="007B687A"/>
    <w:rsid w:val="007B6D81"/>
    <w:rsid w:val="007C0AE9"/>
    <w:rsid w:val="007C10EE"/>
    <w:rsid w:val="007C21C6"/>
    <w:rsid w:val="007C728D"/>
    <w:rsid w:val="007D0797"/>
    <w:rsid w:val="007D3C3F"/>
    <w:rsid w:val="007D551E"/>
    <w:rsid w:val="007E36AE"/>
    <w:rsid w:val="007E4BA2"/>
    <w:rsid w:val="007E58AA"/>
    <w:rsid w:val="007E723C"/>
    <w:rsid w:val="007F0275"/>
    <w:rsid w:val="007F038F"/>
    <w:rsid w:val="007F04DE"/>
    <w:rsid w:val="007F1014"/>
    <w:rsid w:val="007F55FE"/>
    <w:rsid w:val="007F570E"/>
    <w:rsid w:val="007F59C2"/>
    <w:rsid w:val="007F5A5D"/>
    <w:rsid w:val="007F5B1F"/>
    <w:rsid w:val="007F63F3"/>
    <w:rsid w:val="007F73CF"/>
    <w:rsid w:val="007F75F5"/>
    <w:rsid w:val="008001A1"/>
    <w:rsid w:val="008006AC"/>
    <w:rsid w:val="008040E2"/>
    <w:rsid w:val="0080643E"/>
    <w:rsid w:val="008078E9"/>
    <w:rsid w:val="00810339"/>
    <w:rsid w:val="00810A18"/>
    <w:rsid w:val="0081138D"/>
    <w:rsid w:val="00812DD8"/>
    <w:rsid w:val="0081381B"/>
    <w:rsid w:val="0081510F"/>
    <w:rsid w:val="00815550"/>
    <w:rsid w:val="00816E0F"/>
    <w:rsid w:val="00817455"/>
    <w:rsid w:val="00817EBB"/>
    <w:rsid w:val="008205C4"/>
    <w:rsid w:val="00820936"/>
    <w:rsid w:val="00823053"/>
    <w:rsid w:val="0082364C"/>
    <w:rsid w:val="00824FE9"/>
    <w:rsid w:val="00831454"/>
    <w:rsid w:val="008316FC"/>
    <w:rsid w:val="00834305"/>
    <w:rsid w:val="0083636F"/>
    <w:rsid w:val="0083708F"/>
    <w:rsid w:val="00840050"/>
    <w:rsid w:val="008447EA"/>
    <w:rsid w:val="00845A6B"/>
    <w:rsid w:val="00845BEE"/>
    <w:rsid w:val="00846FC6"/>
    <w:rsid w:val="008504BF"/>
    <w:rsid w:val="00850B7A"/>
    <w:rsid w:val="00851054"/>
    <w:rsid w:val="00851CE5"/>
    <w:rsid w:val="00851D88"/>
    <w:rsid w:val="00853427"/>
    <w:rsid w:val="00853DB3"/>
    <w:rsid w:val="008553DA"/>
    <w:rsid w:val="008570F6"/>
    <w:rsid w:val="008615E1"/>
    <w:rsid w:val="00863F04"/>
    <w:rsid w:val="00866CE1"/>
    <w:rsid w:val="008677FC"/>
    <w:rsid w:val="0087057C"/>
    <w:rsid w:val="00870666"/>
    <w:rsid w:val="00870813"/>
    <w:rsid w:val="0087084D"/>
    <w:rsid w:val="00871303"/>
    <w:rsid w:val="00873E15"/>
    <w:rsid w:val="00875140"/>
    <w:rsid w:val="00881F38"/>
    <w:rsid w:val="00883D62"/>
    <w:rsid w:val="00884988"/>
    <w:rsid w:val="00891970"/>
    <w:rsid w:val="00893830"/>
    <w:rsid w:val="00894BF0"/>
    <w:rsid w:val="008A3598"/>
    <w:rsid w:val="008A6B0E"/>
    <w:rsid w:val="008A7E79"/>
    <w:rsid w:val="008B1DE4"/>
    <w:rsid w:val="008B3FF3"/>
    <w:rsid w:val="008B438F"/>
    <w:rsid w:val="008B482E"/>
    <w:rsid w:val="008B6594"/>
    <w:rsid w:val="008C029A"/>
    <w:rsid w:val="008C0D30"/>
    <w:rsid w:val="008C1FE6"/>
    <w:rsid w:val="008C25BA"/>
    <w:rsid w:val="008C27EC"/>
    <w:rsid w:val="008C3600"/>
    <w:rsid w:val="008C67AC"/>
    <w:rsid w:val="008C73E5"/>
    <w:rsid w:val="008C7751"/>
    <w:rsid w:val="008D0628"/>
    <w:rsid w:val="008D1099"/>
    <w:rsid w:val="008D1457"/>
    <w:rsid w:val="008D3117"/>
    <w:rsid w:val="008D398B"/>
    <w:rsid w:val="008D531F"/>
    <w:rsid w:val="008E0DBB"/>
    <w:rsid w:val="008E3B52"/>
    <w:rsid w:val="008E5C54"/>
    <w:rsid w:val="008E6515"/>
    <w:rsid w:val="008E658F"/>
    <w:rsid w:val="008E68CC"/>
    <w:rsid w:val="008E6EB7"/>
    <w:rsid w:val="008E7EF8"/>
    <w:rsid w:val="008F1AD3"/>
    <w:rsid w:val="008F3A04"/>
    <w:rsid w:val="008F475B"/>
    <w:rsid w:val="008F5DBD"/>
    <w:rsid w:val="008F6021"/>
    <w:rsid w:val="008F6BCD"/>
    <w:rsid w:val="00900455"/>
    <w:rsid w:val="00900D7A"/>
    <w:rsid w:val="0090201C"/>
    <w:rsid w:val="00905B93"/>
    <w:rsid w:val="009061EE"/>
    <w:rsid w:val="009068EB"/>
    <w:rsid w:val="00912AF0"/>
    <w:rsid w:val="00916303"/>
    <w:rsid w:val="00921575"/>
    <w:rsid w:val="00921962"/>
    <w:rsid w:val="0092319D"/>
    <w:rsid w:val="00926910"/>
    <w:rsid w:val="00930916"/>
    <w:rsid w:val="009318FA"/>
    <w:rsid w:val="009319F8"/>
    <w:rsid w:val="00931D99"/>
    <w:rsid w:val="00932193"/>
    <w:rsid w:val="00932FD4"/>
    <w:rsid w:val="00933E25"/>
    <w:rsid w:val="009342BB"/>
    <w:rsid w:val="009347B0"/>
    <w:rsid w:val="00935F02"/>
    <w:rsid w:val="00936115"/>
    <w:rsid w:val="0094138F"/>
    <w:rsid w:val="00941CDB"/>
    <w:rsid w:val="0094202A"/>
    <w:rsid w:val="009422B3"/>
    <w:rsid w:val="009433A7"/>
    <w:rsid w:val="009439E9"/>
    <w:rsid w:val="009475AD"/>
    <w:rsid w:val="009504F8"/>
    <w:rsid w:val="009517AA"/>
    <w:rsid w:val="009523D9"/>
    <w:rsid w:val="00952BD3"/>
    <w:rsid w:val="00954B6A"/>
    <w:rsid w:val="00956F56"/>
    <w:rsid w:val="009572DA"/>
    <w:rsid w:val="00960F77"/>
    <w:rsid w:val="00964907"/>
    <w:rsid w:val="009649EB"/>
    <w:rsid w:val="00965948"/>
    <w:rsid w:val="00973621"/>
    <w:rsid w:val="00973E8D"/>
    <w:rsid w:val="009764BC"/>
    <w:rsid w:val="00977896"/>
    <w:rsid w:val="00977A26"/>
    <w:rsid w:val="00980C93"/>
    <w:rsid w:val="00981627"/>
    <w:rsid w:val="00981B7D"/>
    <w:rsid w:val="00985C6A"/>
    <w:rsid w:val="00986337"/>
    <w:rsid w:val="009876F7"/>
    <w:rsid w:val="00987C8D"/>
    <w:rsid w:val="00991BB1"/>
    <w:rsid w:val="009924A8"/>
    <w:rsid w:val="00995F80"/>
    <w:rsid w:val="00996B12"/>
    <w:rsid w:val="00997431"/>
    <w:rsid w:val="009A2914"/>
    <w:rsid w:val="009A381E"/>
    <w:rsid w:val="009A4889"/>
    <w:rsid w:val="009A5AA5"/>
    <w:rsid w:val="009A5CD8"/>
    <w:rsid w:val="009A789C"/>
    <w:rsid w:val="009B17D6"/>
    <w:rsid w:val="009B2CED"/>
    <w:rsid w:val="009B3476"/>
    <w:rsid w:val="009B6C89"/>
    <w:rsid w:val="009B753B"/>
    <w:rsid w:val="009C011C"/>
    <w:rsid w:val="009C2910"/>
    <w:rsid w:val="009C2980"/>
    <w:rsid w:val="009C40B7"/>
    <w:rsid w:val="009C59B8"/>
    <w:rsid w:val="009C70A7"/>
    <w:rsid w:val="009D1A43"/>
    <w:rsid w:val="009D286C"/>
    <w:rsid w:val="009D32F8"/>
    <w:rsid w:val="009D525F"/>
    <w:rsid w:val="009D617C"/>
    <w:rsid w:val="009E01B9"/>
    <w:rsid w:val="009E05C2"/>
    <w:rsid w:val="009E0776"/>
    <w:rsid w:val="009E2C43"/>
    <w:rsid w:val="009E4186"/>
    <w:rsid w:val="009E71C7"/>
    <w:rsid w:val="009E7D09"/>
    <w:rsid w:val="009E7FAA"/>
    <w:rsid w:val="009F0FA7"/>
    <w:rsid w:val="009F143B"/>
    <w:rsid w:val="009F2901"/>
    <w:rsid w:val="009F7808"/>
    <w:rsid w:val="00A0425C"/>
    <w:rsid w:val="00A04574"/>
    <w:rsid w:val="00A04DE3"/>
    <w:rsid w:val="00A101C1"/>
    <w:rsid w:val="00A12BA8"/>
    <w:rsid w:val="00A14120"/>
    <w:rsid w:val="00A161BD"/>
    <w:rsid w:val="00A17E50"/>
    <w:rsid w:val="00A203D3"/>
    <w:rsid w:val="00A23F99"/>
    <w:rsid w:val="00A3076E"/>
    <w:rsid w:val="00A3554C"/>
    <w:rsid w:val="00A3570B"/>
    <w:rsid w:val="00A449AC"/>
    <w:rsid w:val="00A45A1B"/>
    <w:rsid w:val="00A601EC"/>
    <w:rsid w:val="00A60DA4"/>
    <w:rsid w:val="00A62721"/>
    <w:rsid w:val="00A63170"/>
    <w:rsid w:val="00A63C63"/>
    <w:rsid w:val="00A65146"/>
    <w:rsid w:val="00A72D04"/>
    <w:rsid w:val="00A7622A"/>
    <w:rsid w:val="00A77034"/>
    <w:rsid w:val="00A77495"/>
    <w:rsid w:val="00A8077D"/>
    <w:rsid w:val="00A80F9C"/>
    <w:rsid w:val="00A81653"/>
    <w:rsid w:val="00A83281"/>
    <w:rsid w:val="00A83B23"/>
    <w:rsid w:val="00A8610E"/>
    <w:rsid w:val="00A87CEE"/>
    <w:rsid w:val="00A9032A"/>
    <w:rsid w:val="00A94FAC"/>
    <w:rsid w:val="00A96074"/>
    <w:rsid w:val="00A974DE"/>
    <w:rsid w:val="00A97D1C"/>
    <w:rsid w:val="00AA08B0"/>
    <w:rsid w:val="00AA4022"/>
    <w:rsid w:val="00AA41B8"/>
    <w:rsid w:val="00AA41FB"/>
    <w:rsid w:val="00AA45E5"/>
    <w:rsid w:val="00AA568D"/>
    <w:rsid w:val="00AA60B3"/>
    <w:rsid w:val="00AA641F"/>
    <w:rsid w:val="00AA7FCF"/>
    <w:rsid w:val="00AB20F7"/>
    <w:rsid w:val="00AB6BFF"/>
    <w:rsid w:val="00AC01C6"/>
    <w:rsid w:val="00AC07AA"/>
    <w:rsid w:val="00AC2320"/>
    <w:rsid w:val="00AC2477"/>
    <w:rsid w:val="00AC6BC0"/>
    <w:rsid w:val="00AC7D58"/>
    <w:rsid w:val="00AD04C4"/>
    <w:rsid w:val="00AD16F6"/>
    <w:rsid w:val="00AD2E1C"/>
    <w:rsid w:val="00AD2E76"/>
    <w:rsid w:val="00AD3EF1"/>
    <w:rsid w:val="00AD6D5D"/>
    <w:rsid w:val="00AE1692"/>
    <w:rsid w:val="00AE483F"/>
    <w:rsid w:val="00AF194E"/>
    <w:rsid w:val="00AF1C02"/>
    <w:rsid w:val="00AF1C6C"/>
    <w:rsid w:val="00AF49F4"/>
    <w:rsid w:val="00AF5740"/>
    <w:rsid w:val="00B0302C"/>
    <w:rsid w:val="00B0352C"/>
    <w:rsid w:val="00B04038"/>
    <w:rsid w:val="00B04369"/>
    <w:rsid w:val="00B059B2"/>
    <w:rsid w:val="00B074AF"/>
    <w:rsid w:val="00B12290"/>
    <w:rsid w:val="00B16013"/>
    <w:rsid w:val="00B1693F"/>
    <w:rsid w:val="00B22BA9"/>
    <w:rsid w:val="00B25712"/>
    <w:rsid w:val="00B27201"/>
    <w:rsid w:val="00B32854"/>
    <w:rsid w:val="00B32AA1"/>
    <w:rsid w:val="00B32E3A"/>
    <w:rsid w:val="00B33DE5"/>
    <w:rsid w:val="00B34799"/>
    <w:rsid w:val="00B41CCD"/>
    <w:rsid w:val="00B42ADA"/>
    <w:rsid w:val="00B440BD"/>
    <w:rsid w:val="00B461C3"/>
    <w:rsid w:val="00B50A38"/>
    <w:rsid w:val="00B53641"/>
    <w:rsid w:val="00B54D10"/>
    <w:rsid w:val="00B57E2E"/>
    <w:rsid w:val="00B600CB"/>
    <w:rsid w:val="00B6094E"/>
    <w:rsid w:val="00B62116"/>
    <w:rsid w:val="00B63AC0"/>
    <w:rsid w:val="00B64E1B"/>
    <w:rsid w:val="00B7028D"/>
    <w:rsid w:val="00B71E77"/>
    <w:rsid w:val="00B762D9"/>
    <w:rsid w:val="00B81777"/>
    <w:rsid w:val="00B8189A"/>
    <w:rsid w:val="00B82138"/>
    <w:rsid w:val="00B824C7"/>
    <w:rsid w:val="00B82BA1"/>
    <w:rsid w:val="00B8352C"/>
    <w:rsid w:val="00B850D4"/>
    <w:rsid w:val="00B90111"/>
    <w:rsid w:val="00B90C69"/>
    <w:rsid w:val="00B94038"/>
    <w:rsid w:val="00B959DE"/>
    <w:rsid w:val="00BA17B5"/>
    <w:rsid w:val="00BA3E26"/>
    <w:rsid w:val="00BA41C8"/>
    <w:rsid w:val="00BA5382"/>
    <w:rsid w:val="00BA6741"/>
    <w:rsid w:val="00BA7755"/>
    <w:rsid w:val="00BB1305"/>
    <w:rsid w:val="00BB209A"/>
    <w:rsid w:val="00BB2183"/>
    <w:rsid w:val="00BB2254"/>
    <w:rsid w:val="00BB4D34"/>
    <w:rsid w:val="00BB57B1"/>
    <w:rsid w:val="00BB6DE5"/>
    <w:rsid w:val="00BB70F0"/>
    <w:rsid w:val="00BB7367"/>
    <w:rsid w:val="00BB77D4"/>
    <w:rsid w:val="00BC16C0"/>
    <w:rsid w:val="00BC1D63"/>
    <w:rsid w:val="00BC480D"/>
    <w:rsid w:val="00BC4DBA"/>
    <w:rsid w:val="00BC71D1"/>
    <w:rsid w:val="00BC7FBA"/>
    <w:rsid w:val="00BD2E86"/>
    <w:rsid w:val="00BD37D0"/>
    <w:rsid w:val="00BD3F7A"/>
    <w:rsid w:val="00BD6A44"/>
    <w:rsid w:val="00BE215E"/>
    <w:rsid w:val="00BE3038"/>
    <w:rsid w:val="00BE3BE6"/>
    <w:rsid w:val="00BE3E86"/>
    <w:rsid w:val="00BE4D59"/>
    <w:rsid w:val="00BF39B1"/>
    <w:rsid w:val="00BF485D"/>
    <w:rsid w:val="00BF662E"/>
    <w:rsid w:val="00BF67C9"/>
    <w:rsid w:val="00BF6E90"/>
    <w:rsid w:val="00C00F2A"/>
    <w:rsid w:val="00C029B1"/>
    <w:rsid w:val="00C05573"/>
    <w:rsid w:val="00C05923"/>
    <w:rsid w:val="00C063EE"/>
    <w:rsid w:val="00C12751"/>
    <w:rsid w:val="00C127CA"/>
    <w:rsid w:val="00C129CB"/>
    <w:rsid w:val="00C12ED6"/>
    <w:rsid w:val="00C1330E"/>
    <w:rsid w:val="00C139B6"/>
    <w:rsid w:val="00C17424"/>
    <w:rsid w:val="00C214F1"/>
    <w:rsid w:val="00C22508"/>
    <w:rsid w:val="00C304C2"/>
    <w:rsid w:val="00C30D52"/>
    <w:rsid w:val="00C322BC"/>
    <w:rsid w:val="00C35BFD"/>
    <w:rsid w:val="00C35C78"/>
    <w:rsid w:val="00C369A0"/>
    <w:rsid w:val="00C429F5"/>
    <w:rsid w:val="00C42C79"/>
    <w:rsid w:val="00C42EEA"/>
    <w:rsid w:val="00C46AFF"/>
    <w:rsid w:val="00C47507"/>
    <w:rsid w:val="00C475FE"/>
    <w:rsid w:val="00C51423"/>
    <w:rsid w:val="00C51D0C"/>
    <w:rsid w:val="00C53C9D"/>
    <w:rsid w:val="00C53E50"/>
    <w:rsid w:val="00C54AE8"/>
    <w:rsid w:val="00C5626B"/>
    <w:rsid w:val="00C56C51"/>
    <w:rsid w:val="00C57A3C"/>
    <w:rsid w:val="00C61A78"/>
    <w:rsid w:val="00C62BAB"/>
    <w:rsid w:val="00C65E90"/>
    <w:rsid w:val="00C716FC"/>
    <w:rsid w:val="00C71826"/>
    <w:rsid w:val="00C76303"/>
    <w:rsid w:val="00C76BA0"/>
    <w:rsid w:val="00C76DAA"/>
    <w:rsid w:val="00C80BF3"/>
    <w:rsid w:val="00C81820"/>
    <w:rsid w:val="00C85F6F"/>
    <w:rsid w:val="00C872BC"/>
    <w:rsid w:val="00C911AD"/>
    <w:rsid w:val="00C9187D"/>
    <w:rsid w:val="00C91BD5"/>
    <w:rsid w:val="00C92587"/>
    <w:rsid w:val="00C92794"/>
    <w:rsid w:val="00C95E54"/>
    <w:rsid w:val="00C95EB7"/>
    <w:rsid w:val="00C97EA1"/>
    <w:rsid w:val="00CA04B4"/>
    <w:rsid w:val="00CA04BE"/>
    <w:rsid w:val="00CA112B"/>
    <w:rsid w:val="00CA29DF"/>
    <w:rsid w:val="00CA3D8D"/>
    <w:rsid w:val="00CA4CE3"/>
    <w:rsid w:val="00CA61C9"/>
    <w:rsid w:val="00CA7B37"/>
    <w:rsid w:val="00CA7CC8"/>
    <w:rsid w:val="00CB1700"/>
    <w:rsid w:val="00CB2386"/>
    <w:rsid w:val="00CB2BDC"/>
    <w:rsid w:val="00CB367E"/>
    <w:rsid w:val="00CB5822"/>
    <w:rsid w:val="00CB74EF"/>
    <w:rsid w:val="00CB7F5D"/>
    <w:rsid w:val="00CC0483"/>
    <w:rsid w:val="00CC1203"/>
    <w:rsid w:val="00CC1C86"/>
    <w:rsid w:val="00CC20AC"/>
    <w:rsid w:val="00CC2B89"/>
    <w:rsid w:val="00CC49A6"/>
    <w:rsid w:val="00CC5E91"/>
    <w:rsid w:val="00CC64A5"/>
    <w:rsid w:val="00CD12AF"/>
    <w:rsid w:val="00CD4208"/>
    <w:rsid w:val="00CD4308"/>
    <w:rsid w:val="00CD4E90"/>
    <w:rsid w:val="00CD6083"/>
    <w:rsid w:val="00CD6497"/>
    <w:rsid w:val="00CE0A16"/>
    <w:rsid w:val="00CE0CC7"/>
    <w:rsid w:val="00CE6FF9"/>
    <w:rsid w:val="00CF4B3D"/>
    <w:rsid w:val="00CF5BF3"/>
    <w:rsid w:val="00D01EA7"/>
    <w:rsid w:val="00D04E97"/>
    <w:rsid w:val="00D05269"/>
    <w:rsid w:val="00D07223"/>
    <w:rsid w:val="00D10E84"/>
    <w:rsid w:val="00D13006"/>
    <w:rsid w:val="00D1320A"/>
    <w:rsid w:val="00D135CD"/>
    <w:rsid w:val="00D14C44"/>
    <w:rsid w:val="00D150E5"/>
    <w:rsid w:val="00D219C9"/>
    <w:rsid w:val="00D21EF2"/>
    <w:rsid w:val="00D24CAE"/>
    <w:rsid w:val="00D30310"/>
    <w:rsid w:val="00D308D4"/>
    <w:rsid w:val="00D32333"/>
    <w:rsid w:val="00D33B17"/>
    <w:rsid w:val="00D36183"/>
    <w:rsid w:val="00D411E1"/>
    <w:rsid w:val="00D42E9C"/>
    <w:rsid w:val="00D4664F"/>
    <w:rsid w:val="00D51BF0"/>
    <w:rsid w:val="00D522D4"/>
    <w:rsid w:val="00D545B5"/>
    <w:rsid w:val="00D54B44"/>
    <w:rsid w:val="00D560E8"/>
    <w:rsid w:val="00D5618A"/>
    <w:rsid w:val="00D60ED8"/>
    <w:rsid w:val="00D62886"/>
    <w:rsid w:val="00D63919"/>
    <w:rsid w:val="00D64059"/>
    <w:rsid w:val="00D73A3F"/>
    <w:rsid w:val="00D75599"/>
    <w:rsid w:val="00D8294F"/>
    <w:rsid w:val="00D87951"/>
    <w:rsid w:val="00D908EC"/>
    <w:rsid w:val="00D9501F"/>
    <w:rsid w:val="00D952D4"/>
    <w:rsid w:val="00DA1476"/>
    <w:rsid w:val="00DA4E02"/>
    <w:rsid w:val="00DA5548"/>
    <w:rsid w:val="00DA7E78"/>
    <w:rsid w:val="00DB0C21"/>
    <w:rsid w:val="00DB0EAC"/>
    <w:rsid w:val="00DB24F0"/>
    <w:rsid w:val="00DB386B"/>
    <w:rsid w:val="00DB529F"/>
    <w:rsid w:val="00DB53AE"/>
    <w:rsid w:val="00DB6A63"/>
    <w:rsid w:val="00DB79CA"/>
    <w:rsid w:val="00DB7C30"/>
    <w:rsid w:val="00DC3B19"/>
    <w:rsid w:val="00DC4623"/>
    <w:rsid w:val="00DC5EBD"/>
    <w:rsid w:val="00DC72D3"/>
    <w:rsid w:val="00DD3125"/>
    <w:rsid w:val="00DD56EB"/>
    <w:rsid w:val="00DD6C89"/>
    <w:rsid w:val="00DD7699"/>
    <w:rsid w:val="00DD7879"/>
    <w:rsid w:val="00DD7C77"/>
    <w:rsid w:val="00DE09A5"/>
    <w:rsid w:val="00DE1861"/>
    <w:rsid w:val="00DE31B2"/>
    <w:rsid w:val="00DE5154"/>
    <w:rsid w:val="00DF0696"/>
    <w:rsid w:val="00DF1047"/>
    <w:rsid w:val="00DF4238"/>
    <w:rsid w:val="00DF68F4"/>
    <w:rsid w:val="00DF774C"/>
    <w:rsid w:val="00E00942"/>
    <w:rsid w:val="00E12598"/>
    <w:rsid w:val="00E12625"/>
    <w:rsid w:val="00E132FF"/>
    <w:rsid w:val="00E13858"/>
    <w:rsid w:val="00E14972"/>
    <w:rsid w:val="00E15A7A"/>
    <w:rsid w:val="00E15CA7"/>
    <w:rsid w:val="00E252EE"/>
    <w:rsid w:val="00E255D5"/>
    <w:rsid w:val="00E26305"/>
    <w:rsid w:val="00E26499"/>
    <w:rsid w:val="00E26BE5"/>
    <w:rsid w:val="00E27173"/>
    <w:rsid w:val="00E33332"/>
    <w:rsid w:val="00E34A98"/>
    <w:rsid w:val="00E3505C"/>
    <w:rsid w:val="00E35BEA"/>
    <w:rsid w:val="00E414EF"/>
    <w:rsid w:val="00E438F0"/>
    <w:rsid w:val="00E44F9D"/>
    <w:rsid w:val="00E45DD8"/>
    <w:rsid w:val="00E46757"/>
    <w:rsid w:val="00E470BA"/>
    <w:rsid w:val="00E478B0"/>
    <w:rsid w:val="00E47FB7"/>
    <w:rsid w:val="00E50245"/>
    <w:rsid w:val="00E509AB"/>
    <w:rsid w:val="00E51C0B"/>
    <w:rsid w:val="00E51DB2"/>
    <w:rsid w:val="00E52AF4"/>
    <w:rsid w:val="00E57DD3"/>
    <w:rsid w:val="00E638F8"/>
    <w:rsid w:val="00E64E22"/>
    <w:rsid w:val="00E663CE"/>
    <w:rsid w:val="00E71D0C"/>
    <w:rsid w:val="00E73159"/>
    <w:rsid w:val="00E73C75"/>
    <w:rsid w:val="00E75DB6"/>
    <w:rsid w:val="00E770F4"/>
    <w:rsid w:val="00E77DC4"/>
    <w:rsid w:val="00E810D4"/>
    <w:rsid w:val="00E82843"/>
    <w:rsid w:val="00E82BFB"/>
    <w:rsid w:val="00E835C5"/>
    <w:rsid w:val="00E8404C"/>
    <w:rsid w:val="00E84EEC"/>
    <w:rsid w:val="00E867D5"/>
    <w:rsid w:val="00E87811"/>
    <w:rsid w:val="00E9018F"/>
    <w:rsid w:val="00E92577"/>
    <w:rsid w:val="00E94364"/>
    <w:rsid w:val="00E9557F"/>
    <w:rsid w:val="00E9751F"/>
    <w:rsid w:val="00E978EB"/>
    <w:rsid w:val="00EA1E79"/>
    <w:rsid w:val="00EA244A"/>
    <w:rsid w:val="00EB2175"/>
    <w:rsid w:val="00EB6925"/>
    <w:rsid w:val="00EB6E1E"/>
    <w:rsid w:val="00EB7194"/>
    <w:rsid w:val="00EC61C0"/>
    <w:rsid w:val="00ED0037"/>
    <w:rsid w:val="00ED1209"/>
    <w:rsid w:val="00ED4732"/>
    <w:rsid w:val="00ED7507"/>
    <w:rsid w:val="00EE481F"/>
    <w:rsid w:val="00EE5E61"/>
    <w:rsid w:val="00EE64F8"/>
    <w:rsid w:val="00EF013B"/>
    <w:rsid w:val="00EF1FED"/>
    <w:rsid w:val="00EF21FB"/>
    <w:rsid w:val="00EF3604"/>
    <w:rsid w:val="00EF3CB0"/>
    <w:rsid w:val="00EF3FA3"/>
    <w:rsid w:val="00EF74C0"/>
    <w:rsid w:val="00F02882"/>
    <w:rsid w:val="00F02A2B"/>
    <w:rsid w:val="00F037EC"/>
    <w:rsid w:val="00F144FA"/>
    <w:rsid w:val="00F165AB"/>
    <w:rsid w:val="00F17AA7"/>
    <w:rsid w:val="00F20B3B"/>
    <w:rsid w:val="00F21710"/>
    <w:rsid w:val="00F23E27"/>
    <w:rsid w:val="00F3173A"/>
    <w:rsid w:val="00F344D8"/>
    <w:rsid w:val="00F3591D"/>
    <w:rsid w:val="00F40633"/>
    <w:rsid w:val="00F41BB0"/>
    <w:rsid w:val="00F42BDC"/>
    <w:rsid w:val="00F44643"/>
    <w:rsid w:val="00F50D8F"/>
    <w:rsid w:val="00F52BC1"/>
    <w:rsid w:val="00F52E28"/>
    <w:rsid w:val="00F531A6"/>
    <w:rsid w:val="00F53357"/>
    <w:rsid w:val="00F54455"/>
    <w:rsid w:val="00F602BE"/>
    <w:rsid w:val="00F60E42"/>
    <w:rsid w:val="00F71805"/>
    <w:rsid w:val="00F73BCA"/>
    <w:rsid w:val="00F76DF9"/>
    <w:rsid w:val="00F77B2D"/>
    <w:rsid w:val="00F80EA2"/>
    <w:rsid w:val="00F82AB6"/>
    <w:rsid w:val="00F846EC"/>
    <w:rsid w:val="00F851DF"/>
    <w:rsid w:val="00F851EE"/>
    <w:rsid w:val="00F8551C"/>
    <w:rsid w:val="00F8696B"/>
    <w:rsid w:val="00F86D71"/>
    <w:rsid w:val="00F903DB"/>
    <w:rsid w:val="00F92EDF"/>
    <w:rsid w:val="00F93B07"/>
    <w:rsid w:val="00F94308"/>
    <w:rsid w:val="00F94850"/>
    <w:rsid w:val="00F960E2"/>
    <w:rsid w:val="00FA3E5D"/>
    <w:rsid w:val="00FA5514"/>
    <w:rsid w:val="00FA797C"/>
    <w:rsid w:val="00FB1567"/>
    <w:rsid w:val="00FB24D9"/>
    <w:rsid w:val="00FB5F50"/>
    <w:rsid w:val="00FB6ABC"/>
    <w:rsid w:val="00FB77BD"/>
    <w:rsid w:val="00FC27ED"/>
    <w:rsid w:val="00FC3EB6"/>
    <w:rsid w:val="00FC5BAB"/>
    <w:rsid w:val="00FC5F90"/>
    <w:rsid w:val="00FC7750"/>
    <w:rsid w:val="00FD0400"/>
    <w:rsid w:val="00FD1C5B"/>
    <w:rsid w:val="00FD1D71"/>
    <w:rsid w:val="00FD21AA"/>
    <w:rsid w:val="00FD2CE6"/>
    <w:rsid w:val="00FD2FC7"/>
    <w:rsid w:val="00FD41FA"/>
    <w:rsid w:val="00FD4340"/>
    <w:rsid w:val="00FD6345"/>
    <w:rsid w:val="00FD6C70"/>
    <w:rsid w:val="00FD7B59"/>
    <w:rsid w:val="00FE1CAA"/>
    <w:rsid w:val="00FE41F1"/>
    <w:rsid w:val="00FE54A6"/>
    <w:rsid w:val="00FE73DB"/>
    <w:rsid w:val="00FE7473"/>
    <w:rsid w:val="00FE7ACD"/>
    <w:rsid w:val="00FF0C50"/>
    <w:rsid w:val="00FF37C6"/>
    <w:rsid w:val="00FF487D"/>
    <w:rsid w:val="00FF5D9A"/>
    <w:rsid w:val="00FF60DF"/>
    <w:rsid w:val="00FF6A4B"/>
    <w:rsid w:val="00FF794A"/>
    <w:rsid w:val="00FF7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3861"/>
  <w15:chartTrackingRefBased/>
  <w15:docId w15:val="{2C3CECE6-7C0F-4796-86E0-845C295C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920E9"/>
    <w:rPr>
      <w:lang w:val="hu-HU"/>
    </w:rPr>
  </w:style>
  <w:style w:type="paragraph" w:styleId="Cmsor1">
    <w:name w:val="heading 1"/>
    <w:basedOn w:val="Norml"/>
    <w:next w:val="Norml"/>
    <w:link w:val="Cmsor1Char"/>
    <w:uiPriority w:val="9"/>
    <w:qFormat/>
    <w:rsid w:val="000C60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0C60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A974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C42EE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920E9"/>
    <w:pPr>
      <w:ind w:left="720"/>
      <w:contextualSpacing/>
    </w:pPr>
  </w:style>
  <w:style w:type="paragraph" w:styleId="llb">
    <w:name w:val="footer"/>
    <w:basedOn w:val="Norml"/>
    <w:link w:val="llbChar"/>
    <w:uiPriority w:val="99"/>
    <w:unhideWhenUsed/>
    <w:rsid w:val="005920E9"/>
    <w:pPr>
      <w:tabs>
        <w:tab w:val="center" w:pos="4536"/>
        <w:tab w:val="right" w:pos="9072"/>
      </w:tabs>
      <w:spacing w:after="0" w:line="240" w:lineRule="auto"/>
    </w:pPr>
  </w:style>
  <w:style w:type="character" w:customStyle="1" w:styleId="llbChar">
    <w:name w:val="Élőláb Char"/>
    <w:basedOn w:val="Bekezdsalapbettpusa"/>
    <w:link w:val="llb"/>
    <w:uiPriority w:val="99"/>
    <w:rsid w:val="005920E9"/>
    <w:rPr>
      <w:lang w:val="hu-HU"/>
    </w:rPr>
  </w:style>
  <w:style w:type="character" w:styleId="Hiperhivatkozs">
    <w:name w:val="Hyperlink"/>
    <w:basedOn w:val="Bekezdsalapbettpusa"/>
    <w:uiPriority w:val="99"/>
    <w:unhideWhenUsed/>
    <w:rsid w:val="00CC49A6"/>
    <w:rPr>
      <w:color w:val="0563C1" w:themeColor="hyperlink"/>
      <w:u w:val="single"/>
    </w:rPr>
  </w:style>
  <w:style w:type="character" w:customStyle="1" w:styleId="UnresolvedMention">
    <w:name w:val="Unresolved Mention"/>
    <w:basedOn w:val="Bekezdsalapbettpusa"/>
    <w:uiPriority w:val="99"/>
    <w:semiHidden/>
    <w:unhideWhenUsed/>
    <w:rsid w:val="00CC49A6"/>
    <w:rPr>
      <w:color w:val="605E5C"/>
      <w:shd w:val="clear" w:color="auto" w:fill="E1DFDD"/>
    </w:rPr>
  </w:style>
  <w:style w:type="character" w:styleId="Mrltotthiperhivatkozs">
    <w:name w:val="FollowedHyperlink"/>
    <w:basedOn w:val="Bekezdsalapbettpusa"/>
    <w:uiPriority w:val="99"/>
    <w:semiHidden/>
    <w:unhideWhenUsed/>
    <w:rsid w:val="00204E8F"/>
    <w:rPr>
      <w:color w:val="954F72" w:themeColor="followedHyperlink"/>
      <w:u w:val="single"/>
    </w:rPr>
  </w:style>
  <w:style w:type="paragraph" w:styleId="Irodalomjegyzk">
    <w:name w:val="Bibliography"/>
    <w:basedOn w:val="Norml"/>
    <w:next w:val="Norml"/>
    <w:uiPriority w:val="37"/>
    <w:unhideWhenUsed/>
    <w:rsid w:val="009319F8"/>
    <w:pPr>
      <w:spacing w:after="0" w:line="480" w:lineRule="auto"/>
      <w:ind w:left="720" w:hanging="720"/>
    </w:pPr>
  </w:style>
  <w:style w:type="character" w:customStyle="1" w:styleId="Cmsor1Char">
    <w:name w:val="Címsor 1 Char"/>
    <w:basedOn w:val="Bekezdsalapbettpusa"/>
    <w:link w:val="Cmsor1"/>
    <w:uiPriority w:val="9"/>
    <w:rsid w:val="000C608A"/>
    <w:rPr>
      <w:rFonts w:asciiTheme="majorHAnsi" w:eastAsiaTheme="majorEastAsia" w:hAnsiTheme="majorHAnsi" w:cstheme="majorBidi"/>
      <w:color w:val="2F5496" w:themeColor="accent1" w:themeShade="BF"/>
      <w:sz w:val="32"/>
      <w:szCs w:val="32"/>
      <w:lang w:val="hu-HU"/>
    </w:rPr>
  </w:style>
  <w:style w:type="paragraph" w:styleId="Tartalomjegyzkcmsora">
    <w:name w:val="TOC Heading"/>
    <w:basedOn w:val="Cmsor1"/>
    <w:next w:val="Norml"/>
    <w:uiPriority w:val="39"/>
    <w:unhideWhenUsed/>
    <w:qFormat/>
    <w:rsid w:val="000C608A"/>
    <w:pPr>
      <w:outlineLvl w:val="9"/>
    </w:pPr>
    <w:rPr>
      <w:lang w:eastAsia="hu-HU"/>
    </w:rPr>
  </w:style>
  <w:style w:type="paragraph" w:styleId="TJ1">
    <w:name w:val="toc 1"/>
    <w:basedOn w:val="Norml"/>
    <w:next w:val="Norml"/>
    <w:autoRedefine/>
    <w:uiPriority w:val="39"/>
    <w:unhideWhenUsed/>
    <w:rsid w:val="00A974DE"/>
    <w:pPr>
      <w:tabs>
        <w:tab w:val="left" w:pos="880"/>
        <w:tab w:val="right" w:leader="dot" w:pos="9062"/>
      </w:tabs>
      <w:spacing w:after="100"/>
    </w:pPr>
    <w:rPr>
      <w:rFonts w:ascii="Times New Roman" w:hAnsi="Times New Roman" w:cs="Times New Roman"/>
      <w:b/>
      <w:bCs/>
      <w:noProof/>
      <w:sz w:val="24"/>
      <w:szCs w:val="24"/>
    </w:rPr>
  </w:style>
  <w:style w:type="character" w:customStyle="1" w:styleId="Cmsor2Char">
    <w:name w:val="Címsor 2 Char"/>
    <w:basedOn w:val="Bekezdsalapbettpusa"/>
    <w:link w:val="Cmsor2"/>
    <w:uiPriority w:val="9"/>
    <w:rsid w:val="000C608A"/>
    <w:rPr>
      <w:rFonts w:asciiTheme="majorHAnsi" w:eastAsiaTheme="majorEastAsia" w:hAnsiTheme="majorHAnsi" w:cstheme="majorBidi"/>
      <w:color w:val="2F5496" w:themeColor="accent1" w:themeShade="BF"/>
      <w:sz w:val="26"/>
      <w:szCs w:val="26"/>
      <w:lang w:val="hu-HU"/>
    </w:rPr>
  </w:style>
  <w:style w:type="character" w:customStyle="1" w:styleId="Cmsor3Char">
    <w:name w:val="Címsor 3 Char"/>
    <w:basedOn w:val="Bekezdsalapbettpusa"/>
    <w:link w:val="Cmsor3"/>
    <w:uiPriority w:val="9"/>
    <w:rsid w:val="00A974DE"/>
    <w:rPr>
      <w:rFonts w:asciiTheme="majorHAnsi" w:eastAsiaTheme="majorEastAsia" w:hAnsiTheme="majorHAnsi" w:cstheme="majorBidi"/>
      <w:color w:val="1F3763" w:themeColor="accent1" w:themeShade="7F"/>
      <w:sz w:val="24"/>
      <w:szCs w:val="24"/>
      <w:lang w:val="hu-HU"/>
    </w:rPr>
  </w:style>
  <w:style w:type="paragraph" w:styleId="TJ2">
    <w:name w:val="toc 2"/>
    <w:basedOn w:val="Norml"/>
    <w:next w:val="Norml"/>
    <w:autoRedefine/>
    <w:uiPriority w:val="39"/>
    <w:unhideWhenUsed/>
    <w:rsid w:val="00A974DE"/>
    <w:pPr>
      <w:spacing w:after="100"/>
      <w:ind w:left="220"/>
    </w:pPr>
  </w:style>
  <w:style w:type="paragraph" w:styleId="TJ3">
    <w:name w:val="toc 3"/>
    <w:basedOn w:val="Norml"/>
    <w:next w:val="Norml"/>
    <w:autoRedefine/>
    <w:uiPriority w:val="39"/>
    <w:unhideWhenUsed/>
    <w:rsid w:val="009E71C7"/>
    <w:pPr>
      <w:tabs>
        <w:tab w:val="left" w:pos="1320"/>
        <w:tab w:val="right" w:leader="dot" w:pos="9062"/>
      </w:tabs>
      <w:spacing w:after="100"/>
      <w:ind w:left="440"/>
    </w:pPr>
    <w:rPr>
      <w:rFonts w:ascii="Times New Roman" w:hAnsi="Times New Roman" w:cs="Times New Roman"/>
      <w:b/>
      <w:bCs/>
      <w:noProof/>
    </w:rPr>
  </w:style>
  <w:style w:type="paragraph" w:styleId="lfej">
    <w:name w:val="header"/>
    <w:basedOn w:val="Norml"/>
    <w:link w:val="lfejChar"/>
    <w:uiPriority w:val="99"/>
    <w:unhideWhenUsed/>
    <w:rsid w:val="009E71C7"/>
    <w:pPr>
      <w:tabs>
        <w:tab w:val="center" w:pos="4536"/>
        <w:tab w:val="right" w:pos="9072"/>
      </w:tabs>
      <w:spacing w:after="0" w:line="240" w:lineRule="auto"/>
    </w:pPr>
  </w:style>
  <w:style w:type="character" w:customStyle="1" w:styleId="lfejChar">
    <w:name w:val="Élőfej Char"/>
    <w:basedOn w:val="Bekezdsalapbettpusa"/>
    <w:link w:val="lfej"/>
    <w:uiPriority w:val="99"/>
    <w:rsid w:val="009E71C7"/>
    <w:rPr>
      <w:lang w:val="hu-HU"/>
    </w:rPr>
  </w:style>
  <w:style w:type="paragraph" w:styleId="NormlWeb">
    <w:name w:val="Normal (Web)"/>
    <w:basedOn w:val="Norml"/>
    <w:uiPriority w:val="99"/>
    <w:semiHidden/>
    <w:unhideWhenUsed/>
    <w:rsid w:val="00E13858"/>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HTML-kntformzott">
    <w:name w:val="HTML Preformatted"/>
    <w:basedOn w:val="Norml"/>
    <w:link w:val="HTML-kntformzottChar"/>
    <w:uiPriority w:val="99"/>
    <w:semiHidden/>
    <w:unhideWhenUsed/>
    <w:rsid w:val="00991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991BB1"/>
    <w:rPr>
      <w:rFonts w:ascii="Courier New" w:eastAsia="Times New Roman" w:hAnsi="Courier New" w:cs="Courier New"/>
      <w:sz w:val="20"/>
      <w:szCs w:val="20"/>
      <w:lang w:val="hu-HU" w:eastAsia="hu-HU"/>
    </w:rPr>
  </w:style>
  <w:style w:type="character" w:customStyle="1" w:styleId="y2iqfc">
    <w:name w:val="y2iqfc"/>
    <w:basedOn w:val="Bekezdsalapbettpusa"/>
    <w:rsid w:val="00991BB1"/>
  </w:style>
  <w:style w:type="table" w:styleId="Rcsostblzat">
    <w:name w:val="Table Grid"/>
    <w:basedOn w:val="Normltblzat"/>
    <w:uiPriority w:val="39"/>
    <w:rsid w:val="00D90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4Char">
    <w:name w:val="Címsor 4 Char"/>
    <w:basedOn w:val="Bekezdsalapbettpusa"/>
    <w:link w:val="Cmsor4"/>
    <w:uiPriority w:val="9"/>
    <w:rsid w:val="00C42EEA"/>
    <w:rPr>
      <w:rFonts w:asciiTheme="majorHAnsi" w:eastAsiaTheme="majorEastAsia" w:hAnsiTheme="majorHAnsi" w:cstheme="majorBidi"/>
      <w:i/>
      <w:iCs/>
      <w:color w:val="2F5496" w:themeColor="accent1" w:themeShade="BF"/>
      <w:lang w:val="hu-HU"/>
    </w:rPr>
  </w:style>
  <w:style w:type="paragraph" w:styleId="Vltozat">
    <w:name w:val="Revision"/>
    <w:hidden/>
    <w:uiPriority w:val="99"/>
    <w:semiHidden/>
    <w:rsid w:val="00F3173A"/>
    <w:pPr>
      <w:spacing w:after="0" w:line="240" w:lineRule="auto"/>
    </w:pPr>
    <w:rPr>
      <w:lang w:val="hu-HU"/>
    </w:rPr>
  </w:style>
  <w:style w:type="character" w:styleId="Jegyzethivatkozs">
    <w:name w:val="annotation reference"/>
    <w:basedOn w:val="Bekezdsalapbettpusa"/>
    <w:uiPriority w:val="99"/>
    <w:semiHidden/>
    <w:unhideWhenUsed/>
    <w:rsid w:val="00F3173A"/>
    <w:rPr>
      <w:sz w:val="16"/>
      <w:szCs w:val="16"/>
    </w:rPr>
  </w:style>
  <w:style w:type="paragraph" w:styleId="Jegyzetszveg">
    <w:name w:val="annotation text"/>
    <w:basedOn w:val="Norml"/>
    <w:link w:val="JegyzetszvegChar"/>
    <w:uiPriority w:val="99"/>
    <w:unhideWhenUsed/>
    <w:rsid w:val="00F3173A"/>
    <w:pPr>
      <w:spacing w:line="240" w:lineRule="auto"/>
    </w:pPr>
    <w:rPr>
      <w:sz w:val="20"/>
      <w:szCs w:val="20"/>
    </w:rPr>
  </w:style>
  <w:style w:type="character" w:customStyle="1" w:styleId="JegyzetszvegChar">
    <w:name w:val="Jegyzetszöveg Char"/>
    <w:basedOn w:val="Bekezdsalapbettpusa"/>
    <w:link w:val="Jegyzetszveg"/>
    <w:uiPriority w:val="99"/>
    <w:rsid w:val="00F3173A"/>
    <w:rPr>
      <w:sz w:val="20"/>
      <w:szCs w:val="20"/>
      <w:lang w:val="hu-HU"/>
    </w:rPr>
  </w:style>
  <w:style w:type="paragraph" w:styleId="Megjegyzstrgya">
    <w:name w:val="annotation subject"/>
    <w:basedOn w:val="Jegyzetszveg"/>
    <w:next w:val="Jegyzetszveg"/>
    <w:link w:val="MegjegyzstrgyaChar"/>
    <w:uiPriority w:val="99"/>
    <w:semiHidden/>
    <w:unhideWhenUsed/>
    <w:rsid w:val="00F3173A"/>
    <w:rPr>
      <w:b/>
      <w:bCs/>
    </w:rPr>
  </w:style>
  <w:style w:type="character" w:customStyle="1" w:styleId="MegjegyzstrgyaChar">
    <w:name w:val="Megjegyzés tárgya Char"/>
    <w:basedOn w:val="JegyzetszvegChar"/>
    <w:link w:val="Megjegyzstrgya"/>
    <w:uiPriority w:val="99"/>
    <w:semiHidden/>
    <w:rsid w:val="00F3173A"/>
    <w:rPr>
      <w:b/>
      <w:bCs/>
      <w:sz w:val="20"/>
      <w:szCs w:val="20"/>
      <w:lang w:val="hu-HU"/>
    </w:rPr>
  </w:style>
  <w:style w:type="character" w:styleId="Helyrzszveg">
    <w:name w:val="Placeholder Text"/>
    <w:basedOn w:val="Bekezdsalapbettpusa"/>
    <w:uiPriority w:val="99"/>
    <w:semiHidden/>
    <w:rsid w:val="003322C0"/>
    <w:rPr>
      <w:color w:val="808080"/>
    </w:rPr>
  </w:style>
  <w:style w:type="paragraph" w:styleId="Nincstrkz">
    <w:name w:val="No Spacing"/>
    <w:link w:val="NincstrkzChar"/>
    <w:uiPriority w:val="1"/>
    <w:qFormat/>
    <w:rsid w:val="0035351E"/>
    <w:pPr>
      <w:spacing w:after="0" w:line="240" w:lineRule="auto"/>
    </w:pPr>
    <w:rPr>
      <w:rFonts w:eastAsiaTheme="minorEastAsia"/>
      <w:lang w:val="hu-HU" w:eastAsia="hu-HU"/>
    </w:rPr>
  </w:style>
  <w:style w:type="character" w:customStyle="1" w:styleId="NincstrkzChar">
    <w:name w:val="Nincs térköz Char"/>
    <w:basedOn w:val="Bekezdsalapbettpusa"/>
    <w:link w:val="Nincstrkz"/>
    <w:uiPriority w:val="1"/>
    <w:rsid w:val="0035351E"/>
    <w:rPr>
      <w:rFonts w:eastAsiaTheme="minorEastAsia"/>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98164">
      <w:bodyDiv w:val="1"/>
      <w:marLeft w:val="0"/>
      <w:marRight w:val="0"/>
      <w:marTop w:val="0"/>
      <w:marBottom w:val="0"/>
      <w:divBdr>
        <w:top w:val="none" w:sz="0" w:space="0" w:color="auto"/>
        <w:left w:val="none" w:sz="0" w:space="0" w:color="auto"/>
        <w:bottom w:val="none" w:sz="0" w:space="0" w:color="auto"/>
        <w:right w:val="none" w:sz="0" w:space="0" w:color="auto"/>
      </w:divBdr>
    </w:div>
    <w:div w:id="63912199">
      <w:bodyDiv w:val="1"/>
      <w:marLeft w:val="0"/>
      <w:marRight w:val="0"/>
      <w:marTop w:val="0"/>
      <w:marBottom w:val="0"/>
      <w:divBdr>
        <w:top w:val="none" w:sz="0" w:space="0" w:color="auto"/>
        <w:left w:val="none" w:sz="0" w:space="0" w:color="auto"/>
        <w:bottom w:val="none" w:sz="0" w:space="0" w:color="auto"/>
        <w:right w:val="none" w:sz="0" w:space="0" w:color="auto"/>
      </w:divBdr>
    </w:div>
    <w:div w:id="88354863">
      <w:bodyDiv w:val="1"/>
      <w:marLeft w:val="0"/>
      <w:marRight w:val="0"/>
      <w:marTop w:val="0"/>
      <w:marBottom w:val="0"/>
      <w:divBdr>
        <w:top w:val="none" w:sz="0" w:space="0" w:color="auto"/>
        <w:left w:val="none" w:sz="0" w:space="0" w:color="auto"/>
        <w:bottom w:val="none" w:sz="0" w:space="0" w:color="auto"/>
        <w:right w:val="none" w:sz="0" w:space="0" w:color="auto"/>
      </w:divBdr>
    </w:div>
    <w:div w:id="94909658">
      <w:bodyDiv w:val="1"/>
      <w:marLeft w:val="0"/>
      <w:marRight w:val="0"/>
      <w:marTop w:val="0"/>
      <w:marBottom w:val="0"/>
      <w:divBdr>
        <w:top w:val="none" w:sz="0" w:space="0" w:color="auto"/>
        <w:left w:val="none" w:sz="0" w:space="0" w:color="auto"/>
        <w:bottom w:val="none" w:sz="0" w:space="0" w:color="auto"/>
        <w:right w:val="none" w:sz="0" w:space="0" w:color="auto"/>
      </w:divBdr>
    </w:div>
    <w:div w:id="117336203">
      <w:bodyDiv w:val="1"/>
      <w:marLeft w:val="0"/>
      <w:marRight w:val="0"/>
      <w:marTop w:val="0"/>
      <w:marBottom w:val="0"/>
      <w:divBdr>
        <w:top w:val="none" w:sz="0" w:space="0" w:color="auto"/>
        <w:left w:val="none" w:sz="0" w:space="0" w:color="auto"/>
        <w:bottom w:val="none" w:sz="0" w:space="0" w:color="auto"/>
        <w:right w:val="none" w:sz="0" w:space="0" w:color="auto"/>
      </w:divBdr>
    </w:div>
    <w:div w:id="120654260">
      <w:bodyDiv w:val="1"/>
      <w:marLeft w:val="0"/>
      <w:marRight w:val="0"/>
      <w:marTop w:val="0"/>
      <w:marBottom w:val="0"/>
      <w:divBdr>
        <w:top w:val="none" w:sz="0" w:space="0" w:color="auto"/>
        <w:left w:val="none" w:sz="0" w:space="0" w:color="auto"/>
        <w:bottom w:val="none" w:sz="0" w:space="0" w:color="auto"/>
        <w:right w:val="none" w:sz="0" w:space="0" w:color="auto"/>
      </w:divBdr>
    </w:div>
    <w:div w:id="131296031">
      <w:bodyDiv w:val="1"/>
      <w:marLeft w:val="0"/>
      <w:marRight w:val="0"/>
      <w:marTop w:val="0"/>
      <w:marBottom w:val="0"/>
      <w:divBdr>
        <w:top w:val="none" w:sz="0" w:space="0" w:color="auto"/>
        <w:left w:val="none" w:sz="0" w:space="0" w:color="auto"/>
        <w:bottom w:val="none" w:sz="0" w:space="0" w:color="auto"/>
        <w:right w:val="none" w:sz="0" w:space="0" w:color="auto"/>
      </w:divBdr>
    </w:div>
    <w:div w:id="147982443">
      <w:bodyDiv w:val="1"/>
      <w:marLeft w:val="0"/>
      <w:marRight w:val="0"/>
      <w:marTop w:val="0"/>
      <w:marBottom w:val="0"/>
      <w:divBdr>
        <w:top w:val="none" w:sz="0" w:space="0" w:color="auto"/>
        <w:left w:val="none" w:sz="0" w:space="0" w:color="auto"/>
        <w:bottom w:val="none" w:sz="0" w:space="0" w:color="auto"/>
        <w:right w:val="none" w:sz="0" w:space="0" w:color="auto"/>
      </w:divBdr>
    </w:div>
    <w:div w:id="149635979">
      <w:bodyDiv w:val="1"/>
      <w:marLeft w:val="0"/>
      <w:marRight w:val="0"/>
      <w:marTop w:val="0"/>
      <w:marBottom w:val="0"/>
      <w:divBdr>
        <w:top w:val="none" w:sz="0" w:space="0" w:color="auto"/>
        <w:left w:val="none" w:sz="0" w:space="0" w:color="auto"/>
        <w:bottom w:val="none" w:sz="0" w:space="0" w:color="auto"/>
        <w:right w:val="none" w:sz="0" w:space="0" w:color="auto"/>
      </w:divBdr>
    </w:div>
    <w:div w:id="164326765">
      <w:bodyDiv w:val="1"/>
      <w:marLeft w:val="0"/>
      <w:marRight w:val="0"/>
      <w:marTop w:val="0"/>
      <w:marBottom w:val="0"/>
      <w:divBdr>
        <w:top w:val="none" w:sz="0" w:space="0" w:color="auto"/>
        <w:left w:val="none" w:sz="0" w:space="0" w:color="auto"/>
        <w:bottom w:val="none" w:sz="0" w:space="0" w:color="auto"/>
        <w:right w:val="none" w:sz="0" w:space="0" w:color="auto"/>
      </w:divBdr>
    </w:div>
    <w:div w:id="179318728">
      <w:bodyDiv w:val="1"/>
      <w:marLeft w:val="0"/>
      <w:marRight w:val="0"/>
      <w:marTop w:val="0"/>
      <w:marBottom w:val="0"/>
      <w:divBdr>
        <w:top w:val="none" w:sz="0" w:space="0" w:color="auto"/>
        <w:left w:val="none" w:sz="0" w:space="0" w:color="auto"/>
        <w:bottom w:val="none" w:sz="0" w:space="0" w:color="auto"/>
        <w:right w:val="none" w:sz="0" w:space="0" w:color="auto"/>
      </w:divBdr>
    </w:div>
    <w:div w:id="190846717">
      <w:bodyDiv w:val="1"/>
      <w:marLeft w:val="0"/>
      <w:marRight w:val="0"/>
      <w:marTop w:val="0"/>
      <w:marBottom w:val="0"/>
      <w:divBdr>
        <w:top w:val="none" w:sz="0" w:space="0" w:color="auto"/>
        <w:left w:val="none" w:sz="0" w:space="0" w:color="auto"/>
        <w:bottom w:val="none" w:sz="0" w:space="0" w:color="auto"/>
        <w:right w:val="none" w:sz="0" w:space="0" w:color="auto"/>
      </w:divBdr>
    </w:div>
    <w:div w:id="218565291">
      <w:bodyDiv w:val="1"/>
      <w:marLeft w:val="0"/>
      <w:marRight w:val="0"/>
      <w:marTop w:val="0"/>
      <w:marBottom w:val="0"/>
      <w:divBdr>
        <w:top w:val="none" w:sz="0" w:space="0" w:color="auto"/>
        <w:left w:val="none" w:sz="0" w:space="0" w:color="auto"/>
        <w:bottom w:val="none" w:sz="0" w:space="0" w:color="auto"/>
        <w:right w:val="none" w:sz="0" w:space="0" w:color="auto"/>
      </w:divBdr>
    </w:div>
    <w:div w:id="224416268">
      <w:bodyDiv w:val="1"/>
      <w:marLeft w:val="0"/>
      <w:marRight w:val="0"/>
      <w:marTop w:val="0"/>
      <w:marBottom w:val="0"/>
      <w:divBdr>
        <w:top w:val="none" w:sz="0" w:space="0" w:color="auto"/>
        <w:left w:val="none" w:sz="0" w:space="0" w:color="auto"/>
        <w:bottom w:val="none" w:sz="0" w:space="0" w:color="auto"/>
        <w:right w:val="none" w:sz="0" w:space="0" w:color="auto"/>
      </w:divBdr>
    </w:div>
    <w:div w:id="225070440">
      <w:bodyDiv w:val="1"/>
      <w:marLeft w:val="0"/>
      <w:marRight w:val="0"/>
      <w:marTop w:val="0"/>
      <w:marBottom w:val="0"/>
      <w:divBdr>
        <w:top w:val="none" w:sz="0" w:space="0" w:color="auto"/>
        <w:left w:val="none" w:sz="0" w:space="0" w:color="auto"/>
        <w:bottom w:val="none" w:sz="0" w:space="0" w:color="auto"/>
        <w:right w:val="none" w:sz="0" w:space="0" w:color="auto"/>
      </w:divBdr>
    </w:div>
    <w:div w:id="252789560">
      <w:bodyDiv w:val="1"/>
      <w:marLeft w:val="0"/>
      <w:marRight w:val="0"/>
      <w:marTop w:val="0"/>
      <w:marBottom w:val="0"/>
      <w:divBdr>
        <w:top w:val="none" w:sz="0" w:space="0" w:color="auto"/>
        <w:left w:val="none" w:sz="0" w:space="0" w:color="auto"/>
        <w:bottom w:val="none" w:sz="0" w:space="0" w:color="auto"/>
        <w:right w:val="none" w:sz="0" w:space="0" w:color="auto"/>
      </w:divBdr>
    </w:div>
    <w:div w:id="274143868">
      <w:bodyDiv w:val="1"/>
      <w:marLeft w:val="0"/>
      <w:marRight w:val="0"/>
      <w:marTop w:val="0"/>
      <w:marBottom w:val="0"/>
      <w:divBdr>
        <w:top w:val="none" w:sz="0" w:space="0" w:color="auto"/>
        <w:left w:val="none" w:sz="0" w:space="0" w:color="auto"/>
        <w:bottom w:val="none" w:sz="0" w:space="0" w:color="auto"/>
        <w:right w:val="none" w:sz="0" w:space="0" w:color="auto"/>
      </w:divBdr>
    </w:div>
    <w:div w:id="297228689">
      <w:bodyDiv w:val="1"/>
      <w:marLeft w:val="0"/>
      <w:marRight w:val="0"/>
      <w:marTop w:val="0"/>
      <w:marBottom w:val="0"/>
      <w:divBdr>
        <w:top w:val="none" w:sz="0" w:space="0" w:color="auto"/>
        <w:left w:val="none" w:sz="0" w:space="0" w:color="auto"/>
        <w:bottom w:val="none" w:sz="0" w:space="0" w:color="auto"/>
        <w:right w:val="none" w:sz="0" w:space="0" w:color="auto"/>
      </w:divBdr>
    </w:div>
    <w:div w:id="323558455">
      <w:bodyDiv w:val="1"/>
      <w:marLeft w:val="0"/>
      <w:marRight w:val="0"/>
      <w:marTop w:val="0"/>
      <w:marBottom w:val="0"/>
      <w:divBdr>
        <w:top w:val="none" w:sz="0" w:space="0" w:color="auto"/>
        <w:left w:val="none" w:sz="0" w:space="0" w:color="auto"/>
        <w:bottom w:val="none" w:sz="0" w:space="0" w:color="auto"/>
        <w:right w:val="none" w:sz="0" w:space="0" w:color="auto"/>
      </w:divBdr>
    </w:div>
    <w:div w:id="349450229">
      <w:bodyDiv w:val="1"/>
      <w:marLeft w:val="0"/>
      <w:marRight w:val="0"/>
      <w:marTop w:val="0"/>
      <w:marBottom w:val="0"/>
      <w:divBdr>
        <w:top w:val="none" w:sz="0" w:space="0" w:color="auto"/>
        <w:left w:val="none" w:sz="0" w:space="0" w:color="auto"/>
        <w:bottom w:val="none" w:sz="0" w:space="0" w:color="auto"/>
        <w:right w:val="none" w:sz="0" w:space="0" w:color="auto"/>
      </w:divBdr>
    </w:div>
    <w:div w:id="349962977">
      <w:bodyDiv w:val="1"/>
      <w:marLeft w:val="0"/>
      <w:marRight w:val="0"/>
      <w:marTop w:val="0"/>
      <w:marBottom w:val="0"/>
      <w:divBdr>
        <w:top w:val="none" w:sz="0" w:space="0" w:color="auto"/>
        <w:left w:val="none" w:sz="0" w:space="0" w:color="auto"/>
        <w:bottom w:val="none" w:sz="0" w:space="0" w:color="auto"/>
        <w:right w:val="none" w:sz="0" w:space="0" w:color="auto"/>
      </w:divBdr>
    </w:div>
    <w:div w:id="438184148">
      <w:bodyDiv w:val="1"/>
      <w:marLeft w:val="0"/>
      <w:marRight w:val="0"/>
      <w:marTop w:val="0"/>
      <w:marBottom w:val="0"/>
      <w:divBdr>
        <w:top w:val="none" w:sz="0" w:space="0" w:color="auto"/>
        <w:left w:val="none" w:sz="0" w:space="0" w:color="auto"/>
        <w:bottom w:val="none" w:sz="0" w:space="0" w:color="auto"/>
        <w:right w:val="none" w:sz="0" w:space="0" w:color="auto"/>
      </w:divBdr>
      <w:divsChild>
        <w:div w:id="428819513">
          <w:marLeft w:val="0"/>
          <w:marRight w:val="0"/>
          <w:marTop w:val="0"/>
          <w:marBottom w:val="0"/>
          <w:divBdr>
            <w:top w:val="none" w:sz="0" w:space="0" w:color="auto"/>
            <w:left w:val="none" w:sz="0" w:space="0" w:color="auto"/>
            <w:bottom w:val="none" w:sz="0" w:space="0" w:color="auto"/>
            <w:right w:val="none" w:sz="0" w:space="0" w:color="auto"/>
          </w:divBdr>
        </w:div>
        <w:div w:id="550385865">
          <w:marLeft w:val="0"/>
          <w:marRight w:val="0"/>
          <w:marTop w:val="0"/>
          <w:marBottom w:val="0"/>
          <w:divBdr>
            <w:top w:val="none" w:sz="0" w:space="0" w:color="auto"/>
            <w:left w:val="none" w:sz="0" w:space="0" w:color="auto"/>
            <w:bottom w:val="none" w:sz="0" w:space="0" w:color="auto"/>
            <w:right w:val="none" w:sz="0" w:space="0" w:color="auto"/>
          </w:divBdr>
          <w:divsChild>
            <w:div w:id="1776901506">
              <w:marLeft w:val="0"/>
              <w:marRight w:val="165"/>
              <w:marTop w:val="150"/>
              <w:marBottom w:val="0"/>
              <w:divBdr>
                <w:top w:val="none" w:sz="0" w:space="0" w:color="auto"/>
                <w:left w:val="none" w:sz="0" w:space="0" w:color="auto"/>
                <w:bottom w:val="none" w:sz="0" w:space="0" w:color="auto"/>
                <w:right w:val="none" w:sz="0" w:space="0" w:color="auto"/>
              </w:divBdr>
              <w:divsChild>
                <w:div w:id="81803100">
                  <w:marLeft w:val="0"/>
                  <w:marRight w:val="0"/>
                  <w:marTop w:val="0"/>
                  <w:marBottom w:val="0"/>
                  <w:divBdr>
                    <w:top w:val="none" w:sz="0" w:space="0" w:color="auto"/>
                    <w:left w:val="none" w:sz="0" w:space="0" w:color="auto"/>
                    <w:bottom w:val="none" w:sz="0" w:space="0" w:color="auto"/>
                    <w:right w:val="none" w:sz="0" w:space="0" w:color="auto"/>
                  </w:divBdr>
                  <w:divsChild>
                    <w:div w:id="16625838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573359">
      <w:bodyDiv w:val="1"/>
      <w:marLeft w:val="0"/>
      <w:marRight w:val="0"/>
      <w:marTop w:val="0"/>
      <w:marBottom w:val="0"/>
      <w:divBdr>
        <w:top w:val="none" w:sz="0" w:space="0" w:color="auto"/>
        <w:left w:val="none" w:sz="0" w:space="0" w:color="auto"/>
        <w:bottom w:val="none" w:sz="0" w:space="0" w:color="auto"/>
        <w:right w:val="none" w:sz="0" w:space="0" w:color="auto"/>
      </w:divBdr>
    </w:div>
    <w:div w:id="497311632">
      <w:bodyDiv w:val="1"/>
      <w:marLeft w:val="0"/>
      <w:marRight w:val="0"/>
      <w:marTop w:val="0"/>
      <w:marBottom w:val="0"/>
      <w:divBdr>
        <w:top w:val="none" w:sz="0" w:space="0" w:color="auto"/>
        <w:left w:val="none" w:sz="0" w:space="0" w:color="auto"/>
        <w:bottom w:val="none" w:sz="0" w:space="0" w:color="auto"/>
        <w:right w:val="none" w:sz="0" w:space="0" w:color="auto"/>
      </w:divBdr>
    </w:div>
    <w:div w:id="501897390">
      <w:bodyDiv w:val="1"/>
      <w:marLeft w:val="0"/>
      <w:marRight w:val="0"/>
      <w:marTop w:val="0"/>
      <w:marBottom w:val="0"/>
      <w:divBdr>
        <w:top w:val="none" w:sz="0" w:space="0" w:color="auto"/>
        <w:left w:val="none" w:sz="0" w:space="0" w:color="auto"/>
        <w:bottom w:val="none" w:sz="0" w:space="0" w:color="auto"/>
        <w:right w:val="none" w:sz="0" w:space="0" w:color="auto"/>
      </w:divBdr>
    </w:div>
    <w:div w:id="612982340">
      <w:bodyDiv w:val="1"/>
      <w:marLeft w:val="0"/>
      <w:marRight w:val="0"/>
      <w:marTop w:val="0"/>
      <w:marBottom w:val="0"/>
      <w:divBdr>
        <w:top w:val="none" w:sz="0" w:space="0" w:color="auto"/>
        <w:left w:val="none" w:sz="0" w:space="0" w:color="auto"/>
        <w:bottom w:val="none" w:sz="0" w:space="0" w:color="auto"/>
        <w:right w:val="none" w:sz="0" w:space="0" w:color="auto"/>
      </w:divBdr>
    </w:div>
    <w:div w:id="627854852">
      <w:bodyDiv w:val="1"/>
      <w:marLeft w:val="0"/>
      <w:marRight w:val="0"/>
      <w:marTop w:val="0"/>
      <w:marBottom w:val="0"/>
      <w:divBdr>
        <w:top w:val="none" w:sz="0" w:space="0" w:color="auto"/>
        <w:left w:val="none" w:sz="0" w:space="0" w:color="auto"/>
        <w:bottom w:val="none" w:sz="0" w:space="0" w:color="auto"/>
        <w:right w:val="none" w:sz="0" w:space="0" w:color="auto"/>
      </w:divBdr>
    </w:div>
    <w:div w:id="631249924">
      <w:bodyDiv w:val="1"/>
      <w:marLeft w:val="0"/>
      <w:marRight w:val="0"/>
      <w:marTop w:val="0"/>
      <w:marBottom w:val="0"/>
      <w:divBdr>
        <w:top w:val="none" w:sz="0" w:space="0" w:color="auto"/>
        <w:left w:val="none" w:sz="0" w:space="0" w:color="auto"/>
        <w:bottom w:val="none" w:sz="0" w:space="0" w:color="auto"/>
        <w:right w:val="none" w:sz="0" w:space="0" w:color="auto"/>
      </w:divBdr>
    </w:div>
    <w:div w:id="646128605">
      <w:bodyDiv w:val="1"/>
      <w:marLeft w:val="0"/>
      <w:marRight w:val="0"/>
      <w:marTop w:val="0"/>
      <w:marBottom w:val="0"/>
      <w:divBdr>
        <w:top w:val="none" w:sz="0" w:space="0" w:color="auto"/>
        <w:left w:val="none" w:sz="0" w:space="0" w:color="auto"/>
        <w:bottom w:val="none" w:sz="0" w:space="0" w:color="auto"/>
        <w:right w:val="none" w:sz="0" w:space="0" w:color="auto"/>
      </w:divBdr>
      <w:divsChild>
        <w:div w:id="416757841">
          <w:marLeft w:val="0"/>
          <w:marRight w:val="0"/>
          <w:marTop w:val="0"/>
          <w:marBottom w:val="0"/>
          <w:divBdr>
            <w:top w:val="none" w:sz="0" w:space="0" w:color="auto"/>
            <w:left w:val="none" w:sz="0" w:space="0" w:color="auto"/>
            <w:bottom w:val="none" w:sz="0" w:space="0" w:color="auto"/>
            <w:right w:val="none" w:sz="0" w:space="0" w:color="auto"/>
          </w:divBdr>
        </w:div>
        <w:div w:id="2087536512">
          <w:marLeft w:val="0"/>
          <w:marRight w:val="0"/>
          <w:marTop w:val="0"/>
          <w:marBottom w:val="0"/>
          <w:divBdr>
            <w:top w:val="none" w:sz="0" w:space="0" w:color="auto"/>
            <w:left w:val="none" w:sz="0" w:space="0" w:color="auto"/>
            <w:bottom w:val="none" w:sz="0" w:space="0" w:color="auto"/>
            <w:right w:val="none" w:sz="0" w:space="0" w:color="auto"/>
          </w:divBdr>
          <w:divsChild>
            <w:div w:id="138157812">
              <w:marLeft w:val="0"/>
              <w:marRight w:val="165"/>
              <w:marTop w:val="150"/>
              <w:marBottom w:val="0"/>
              <w:divBdr>
                <w:top w:val="none" w:sz="0" w:space="0" w:color="auto"/>
                <w:left w:val="none" w:sz="0" w:space="0" w:color="auto"/>
                <w:bottom w:val="none" w:sz="0" w:space="0" w:color="auto"/>
                <w:right w:val="none" w:sz="0" w:space="0" w:color="auto"/>
              </w:divBdr>
              <w:divsChild>
                <w:div w:id="735511189">
                  <w:marLeft w:val="0"/>
                  <w:marRight w:val="0"/>
                  <w:marTop w:val="0"/>
                  <w:marBottom w:val="0"/>
                  <w:divBdr>
                    <w:top w:val="none" w:sz="0" w:space="0" w:color="auto"/>
                    <w:left w:val="none" w:sz="0" w:space="0" w:color="auto"/>
                    <w:bottom w:val="none" w:sz="0" w:space="0" w:color="auto"/>
                    <w:right w:val="none" w:sz="0" w:space="0" w:color="auto"/>
                  </w:divBdr>
                  <w:divsChild>
                    <w:div w:id="4685988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830311">
      <w:bodyDiv w:val="1"/>
      <w:marLeft w:val="0"/>
      <w:marRight w:val="0"/>
      <w:marTop w:val="0"/>
      <w:marBottom w:val="0"/>
      <w:divBdr>
        <w:top w:val="none" w:sz="0" w:space="0" w:color="auto"/>
        <w:left w:val="none" w:sz="0" w:space="0" w:color="auto"/>
        <w:bottom w:val="none" w:sz="0" w:space="0" w:color="auto"/>
        <w:right w:val="none" w:sz="0" w:space="0" w:color="auto"/>
      </w:divBdr>
    </w:div>
    <w:div w:id="675838301">
      <w:bodyDiv w:val="1"/>
      <w:marLeft w:val="0"/>
      <w:marRight w:val="0"/>
      <w:marTop w:val="0"/>
      <w:marBottom w:val="0"/>
      <w:divBdr>
        <w:top w:val="none" w:sz="0" w:space="0" w:color="auto"/>
        <w:left w:val="none" w:sz="0" w:space="0" w:color="auto"/>
        <w:bottom w:val="none" w:sz="0" w:space="0" w:color="auto"/>
        <w:right w:val="none" w:sz="0" w:space="0" w:color="auto"/>
      </w:divBdr>
    </w:div>
    <w:div w:id="700205715">
      <w:bodyDiv w:val="1"/>
      <w:marLeft w:val="0"/>
      <w:marRight w:val="0"/>
      <w:marTop w:val="0"/>
      <w:marBottom w:val="0"/>
      <w:divBdr>
        <w:top w:val="none" w:sz="0" w:space="0" w:color="auto"/>
        <w:left w:val="none" w:sz="0" w:space="0" w:color="auto"/>
        <w:bottom w:val="none" w:sz="0" w:space="0" w:color="auto"/>
        <w:right w:val="none" w:sz="0" w:space="0" w:color="auto"/>
      </w:divBdr>
    </w:div>
    <w:div w:id="706416634">
      <w:bodyDiv w:val="1"/>
      <w:marLeft w:val="0"/>
      <w:marRight w:val="0"/>
      <w:marTop w:val="0"/>
      <w:marBottom w:val="0"/>
      <w:divBdr>
        <w:top w:val="none" w:sz="0" w:space="0" w:color="auto"/>
        <w:left w:val="none" w:sz="0" w:space="0" w:color="auto"/>
        <w:bottom w:val="none" w:sz="0" w:space="0" w:color="auto"/>
        <w:right w:val="none" w:sz="0" w:space="0" w:color="auto"/>
      </w:divBdr>
    </w:div>
    <w:div w:id="732848194">
      <w:bodyDiv w:val="1"/>
      <w:marLeft w:val="0"/>
      <w:marRight w:val="0"/>
      <w:marTop w:val="0"/>
      <w:marBottom w:val="0"/>
      <w:divBdr>
        <w:top w:val="none" w:sz="0" w:space="0" w:color="auto"/>
        <w:left w:val="none" w:sz="0" w:space="0" w:color="auto"/>
        <w:bottom w:val="none" w:sz="0" w:space="0" w:color="auto"/>
        <w:right w:val="none" w:sz="0" w:space="0" w:color="auto"/>
      </w:divBdr>
    </w:div>
    <w:div w:id="784738957">
      <w:bodyDiv w:val="1"/>
      <w:marLeft w:val="0"/>
      <w:marRight w:val="0"/>
      <w:marTop w:val="0"/>
      <w:marBottom w:val="0"/>
      <w:divBdr>
        <w:top w:val="none" w:sz="0" w:space="0" w:color="auto"/>
        <w:left w:val="none" w:sz="0" w:space="0" w:color="auto"/>
        <w:bottom w:val="none" w:sz="0" w:space="0" w:color="auto"/>
        <w:right w:val="none" w:sz="0" w:space="0" w:color="auto"/>
      </w:divBdr>
    </w:div>
    <w:div w:id="809323263">
      <w:bodyDiv w:val="1"/>
      <w:marLeft w:val="0"/>
      <w:marRight w:val="0"/>
      <w:marTop w:val="0"/>
      <w:marBottom w:val="0"/>
      <w:divBdr>
        <w:top w:val="none" w:sz="0" w:space="0" w:color="auto"/>
        <w:left w:val="none" w:sz="0" w:space="0" w:color="auto"/>
        <w:bottom w:val="none" w:sz="0" w:space="0" w:color="auto"/>
        <w:right w:val="none" w:sz="0" w:space="0" w:color="auto"/>
      </w:divBdr>
    </w:div>
    <w:div w:id="822357733">
      <w:bodyDiv w:val="1"/>
      <w:marLeft w:val="0"/>
      <w:marRight w:val="0"/>
      <w:marTop w:val="0"/>
      <w:marBottom w:val="0"/>
      <w:divBdr>
        <w:top w:val="none" w:sz="0" w:space="0" w:color="auto"/>
        <w:left w:val="none" w:sz="0" w:space="0" w:color="auto"/>
        <w:bottom w:val="none" w:sz="0" w:space="0" w:color="auto"/>
        <w:right w:val="none" w:sz="0" w:space="0" w:color="auto"/>
      </w:divBdr>
    </w:div>
    <w:div w:id="853032965">
      <w:bodyDiv w:val="1"/>
      <w:marLeft w:val="0"/>
      <w:marRight w:val="0"/>
      <w:marTop w:val="0"/>
      <w:marBottom w:val="0"/>
      <w:divBdr>
        <w:top w:val="none" w:sz="0" w:space="0" w:color="auto"/>
        <w:left w:val="none" w:sz="0" w:space="0" w:color="auto"/>
        <w:bottom w:val="none" w:sz="0" w:space="0" w:color="auto"/>
        <w:right w:val="none" w:sz="0" w:space="0" w:color="auto"/>
      </w:divBdr>
    </w:div>
    <w:div w:id="859663365">
      <w:bodyDiv w:val="1"/>
      <w:marLeft w:val="0"/>
      <w:marRight w:val="0"/>
      <w:marTop w:val="0"/>
      <w:marBottom w:val="0"/>
      <w:divBdr>
        <w:top w:val="none" w:sz="0" w:space="0" w:color="auto"/>
        <w:left w:val="none" w:sz="0" w:space="0" w:color="auto"/>
        <w:bottom w:val="none" w:sz="0" w:space="0" w:color="auto"/>
        <w:right w:val="none" w:sz="0" w:space="0" w:color="auto"/>
      </w:divBdr>
    </w:div>
    <w:div w:id="861551668">
      <w:bodyDiv w:val="1"/>
      <w:marLeft w:val="0"/>
      <w:marRight w:val="0"/>
      <w:marTop w:val="0"/>
      <w:marBottom w:val="0"/>
      <w:divBdr>
        <w:top w:val="none" w:sz="0" w:space="0" w:color="auto"/>
        <w:left w:val="none" w:sz="0" w:space="0" w:color="auto"/>
        <w:bottom w:val="none" w:sz="0" w:space="0" w:color="auto"/>
        <w:right w:val="none" w:sz="0" w:space="0" w:color="auto"/>
      </w:divBdr>
      <w:divsChild>
        <w:div w:id="497428114">
          <w:marLeft w:val="480"/>
          <w:marRight w:val="0"/>
          <w:marTop w:val="0"/>
          <w:marBottom w:val="0"/>
          <w:divBdr>
            <w:top w:val="none" w:sz="0" w:space="0" w:color="auto"/>
            <w:left w:val="none" w:sz="0" w:space="0" w:color="auto"/>
            <w:bottom w:val="none" w:sz="0" w:space="0" w:color="auto"/>
            <w:right w:val="none" w:sz="0" w:space="0" w:color="auto"/>
          </w:divBdr>
          <w:divsChild>
            <w:div w:id="15931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493">
      <w:bodyDiv w:val="1"/>
      <w:marLeft w:val="0"/>
      <w:marRight w:val="0"/>
      <w:marTop w:val="0"/>
      <w:marBottom w:val="0"/>
      <w:divBdr>
        <w:top w:val="none" w:sz="0" w:space="0" w:color="auto"/>
        <w:left w:val="none" w:sz="0" w:space="0" w:color="auto"/>
        <w:bottom w:val="none" w:sz="0" w:space="0" w:color="auto"/>
        <w:right w:val="none" w:sz="0" w:space="0" w:color="auto"/>
      </w:divBdr>
    </w:div>
    <w:div w:id="946691055">
      <w:bodyDiv w:val="1"/>
      <w:marLeft w:val="0"/>
      <w:marRight w:val="0"/>
      <w:marTop w:val="0"/>
      <w:marBottom w:val="0"/>
      <w:divBdr>
        <w:top w:val="none" w:sz="0" w:space="0" w:color="auto"/>
        <w:left w:val="none" w:sz="0" w:space="0" w:color="auto"/>
        <w:bottom w:val="none" w:sz="0" w:space="0" w:color="auto"/>
        <w:right w:val="none" w:sz="0" w:space="0" w:color="auto"/>
      </w:divBdr>
    </w:div>
    <w:div w:id="946814636">
      <w:bodyDiv w:val="1"/>
      <w:marLeft w:val="0"/>
      <w:marRight w:val="0"/>
      <w:marTop w:val="0"/>
      <w:marBottom w:val="0"/>
      <w:divBdr>
        <w:top w:val="none" w:sz="0" w:space="0" w:color="auto"/>
        <w:left w:val="none" w:sz="0" w:space="0" w:color="auto"/>
        <w:bottom w:val="none" w:sz="0" w:space="0" w:color="auto"/>
        <w:right w:val="none" w:sz="0" w:space="0" w:color="auto"/>
      </w:divBdr>
      <w:divsChild>
        <w:div w:id="1043410668">
          <w:marLeft w:val="480"/>
          <w:marRight w:val="0"/>
          <w:marTop w:val="0"/>
          <w:marBottom w:val="0"/>
          <w:divBdr>
            <w:top w:val="none" w:sz="0" w:space="0" w:color="auto"/>
            <w:left w:val="none" w:sz="0" w:space="0" w:color="auto"/>
            <w:bottom w:val="none" w:sz="0" w:space="0" w:color="auto"/>
            <w:right w:val="none" w:sz="0" w:space="0" w:color="auto"/>
          </w:divBdr>
          <w:divsChild>
            <w:div w:id="555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18024">
      <w:bodyDiv w:val="1"/>
      <w:marLeft w:val="0"/>
      <w:marRight w:val="0"/>
      <w:marTop w:val="0"/>
      <w:marBottom w:val="0"/>
      <w:divBdr>
        <w:top w:val="none" w:sz="0" w:space="0" w:color="auto"/>
        <w:left w:val="none" w:sz="0" w:space="0" w:color="auto"/>
        <w:bottom w:val="none" w:sz="0" w:space="0" w:color="auto"/>
        <w:right w:val="none" w:sz="0" w:space="0" w:color="auto"/>
      </w:divBdr>
    </w:div>
    <w:div w:id="956301853">
      <w:bodyDiv w:val="1"/>
      <w:marLeft w:val="0"/>
      <w:marRight w:val="0"/>
      <w:marTop w:val="0"/>
      <w:marBottom w:val="0"/>
      <w:divBdr>
        <w:top w:val="none" w:sz="0" w:space="0" w:color="auto"/>
        <w:left w:val="none" w:sz="0" w:space="0" w:color="auto"/>
        <w:bottom w:val="none" w:sz="0" w:space="0" w:color="auto"/>
        <w:right w:val="none" w:sz="0" w:space="0" w:color="auto"/>
      </w:divBdr>
    </w:div>
    <w:div w:id="958146103">
      <w:bodyDiv w:val="1"/>
      <w:marLeft w:val="0"/>
      <w:marRight w:val="0"/>
      <w:marTop w:val="0"/>
      <w:marBottom w:val="0"/>
      <w:divBdr>
        <w:top w:val="none" w:sz="0" w:space="0" w:color="auto"/>
        <w:left w:val="none" w:sz="0" w:space="0" w:color="auto"/>
        <w:bottom w:val="none" w:sz="0" w:space="0" w:color="auto"/>
        <w:right w:val="none" w:sz="0" w:space="0" w:color="auto"/>
      </w:divBdr>
    </w:div>
    <w:div w:id="960889604">
      <w:bodyDiv w:val="1"/>
      <w:marLeft w:val="0"/>
      <w:marRight w:val="0"/>
      <w:marTop w:val="0"/>
      <w:marBottom w:val="0"/>
      <w:divBdr>
        <w:top w:val="none" w:sz="0" w:space="0" w:color="auto"/>
        <w:left w:val="none" w:sz="0" w:space="0" w:color="auto"/>
        <w:bottom w:val="none" w:sz="0" w:space="0" w:color="auto"/>
        <w:right w:val="none" w:sz="0" w:space="0" w:color="auto"/>
      </w:divBdr>
    </w:div>
    <w:div w:id="1033071247">
      <w:bodyDiv w:val="1"/>
      <w:marLeft w:val="0"/>
      <w:marRight w:val="0"/>
      <w:marTop w:val="0"/>
      <w:marBottom w:val="0"/>
      <w:divBdr>
        <w:top w:val="none" w:sz="0" w:space="0" w:color="auto"/>
        <w:left w:val="none" w:sz="0" w:space="0" w:color="auto"/>
        <w:bottom w:val="none" w:sz="0" w:space="0" w:color="auto"/>
        <w:right w:val="none" w:sz="0" w:space="0" w:color="auto"/>
      </w:divBdr>
    </w:div>
    <w:div w:id="1038505212">
      <w:bodyDiv w:val="1"/>
      <w:marLeft w:val="0"/>
      <w:marRight w:val="0"/>
      <w:marTop w:val="0"/>
      <w:marBottom w:val="0"/>
      <w:divBdr>
        <w:top w:val="none" w:sz="0" w:space="0" w:color="auto"/>
        <w:left w:val="none" w:sz="0" w:space="0" w:color="auto"/>
        <w:bottom w:val="none" w:sz="0" w:space="0" w:color="auto"/>
        <w:right w:val="none" w:sz="0" w:space="0" w:color="auto"/>
      </w:divBdr>
    </w:div>
    <w:div w:id="1054936955">
      <w:bodyDiv w:val="1"/>
      <w:marLeft w:val="0"/>
      <w:marRight w:val="0"/>
      <w:marTop w:val="0"/>
      <w:marBottom w:val="0"/>
      <w:divBdr>
        <w:top w:val="none" w:sz="0" w:space="0" w:color="auto"/>
        <w:left w:val="none" w:sz="0" w:space="0" w:color="auto"/>
        <w:bottom w:val="none" w:sz="0" w:space="0" w:color="auto"/>
        <w:right w:val="none" w:sz="0" w:space="0" w:color="auto"/>
      </w:divBdr>
    </w:div>
    <w:div w:id="1065641743">
      <w:bodyDiv w:val="1"/>
      <w:marLeft w:val="0"/>
      <w:marRight w:val="0"/>
      <w:marTop w:val="0"/>
      <w:marBottom w:val="0"/>
      <w:divBdr>
        <w:top w:val="none" w:sz="0" w:space="0" w:color="auto"/>
        <w:left w:val="none" w:sz="0" w:space="0" w:color="auto"/>
        <w:bottom w:val="none" w:sz="0" w:space="0" w:color="auto"/>
        <w:right w:val="none" w:sz="0" w:space="0" w:color="auto"/>
      </w:divBdr>
    </w:div>
    <w:div w:id="1130628521">
      <w:bodyDiv w:val="1"/>
      <w:marLeft w:val="0"/>
      <w:marRight w:val="0"/>
      <w:marTop w:val="0"/>
      <w:marBottom w:val="0"/>
      <w:divBdr>
        <w:top w:val="none" w:sz="0" w:space="0" w:color="auto"/>
        <w:left w:val="none" w:sz="0" w:space="0" w:color="auto"/>
        <w:bottom w:val="none" w:sz="0" w:space="0" w:color="auto"/>
        <w:right w:val="none" w:sz="0" w:space="0" w:color="auto"/>
      </w:divBdr>
    </w:div>
    <w:div w:id="1139107247">
      <w:bodyDiv w:val="1"/>
      <w:marLeft w:val="0"/>
      <w:marRight w:val="0"/>
      <w:marTop w:val="0"/>
      <w:marBottom w:val="0"/>
      <w:divBdr>
        <w:top w:val="none" w:sz="0" w:space="0" w:color="auto"/>
        <w:left w:val="none" w:sz="0" w:space="0" w:color="auto"/>
        <w:bottom w:val="none" w:sz="0" w:space="0" w:color="auto"/>
        <w:right w:val="none" w:sz="0" w:space="0" w:color="auto"/>
      </w:divBdr>
    </w:div>
    <w:div w:id="1147360947">
      <w:bodyDiv w:val="1"/>
      <w:marLeft w:val="0"/>
      <w:marRight w:val="0"/>
      <w:marTop w:val="0"/>
      <w:marBottom w:val="0"/>
      <w:divBdr>
        <w:top w:val="none" w:sz="0" w:space="0" w:color="auto"/>
        <w:left w:val="none" w:sz="0" w:space="0" w:color="auto"/>
        <w:bottom w:val="none" w:sz="0" w:space="0" w:color="auto"/>
        <w:right w:val="none" w:sz="0" w:space="0" w:color="auto"/>
      </w:divBdr>
    </w:div>
    <w:div w:id="1153371381">
      <w:bodyDiv w:val="1"/>
      <w:marLeft w:val="0"/>
      <w:marRight w:val="0"/>
      <w:marTop w:val="0"/>
      <w:marBottom w:val="0"/>
      <w:divBdr>
        <w:top w:val="none" w:sz="0" w:space="0" w:color="auto"/>
        <w:left w:val="none" w:sz="0" w:space="0" w:color="auto"/>
        <w:bottom w:val="none" w:sz="0" w:space="0" w:color="auto"/>
        <w:right w:val="none" w:sz="0" w:space="0" w:color="auto"/>
      </w:divBdr>
    </w:div>
    <w:div w:id="1189639208">
      <w:bodyDiv w:val="1"/>
      <w:marLeft w:val="0"/>
      <w:marRight w:val="0"/>
      <w:marTop w:val="0"/>
      <w:marBottom w:val="0"/>
      <w:divBdr>
        <w:top w:val="none" w:sz="0" w:space="0" w:color="auto"/>
        <w:left w:val="none" w:sz="0" w:space="0" w:color="auto"/>
        <w:bottom w:val="none" w:sz="0" w:space="0" w:color="auto"/>
        <w:right w:val="none" w:sz="0" w:space="0" w:color="auto"/>
      </w:divBdr>
    </w:div>
    <w:div w:id="1192573695">
      <w:bodyDiv w:val="1"/>
      <w:marLeft w:val="0"/>
      <w:marRight w:val="0"/>
      <w:marTop w:val="0"/>
      <w:marBottom w:val="0"/>
      <w:divBdr>
        <w:top w:val="none" w:sz="0" w:space="0" w:color="auto"/>
        <w:left w:val="none" w:sz="0" w:space="0" w:color="auto"/>
        <w:bottom w:val="none" w:sz="0" w:space="0" w:color="auto"/>
        <w:right w:val="none" w:sz="0" w:space="0" w:color="auto"/>
      </w:divBdr>
    </w:div>
    <w:div w:id="1278560990">
      <w:bodyDiv w:val="1"/>
      <w:marLeft w:val="0"/>
      <w:marRight w:val="0"/>
      <w:marTop w:val="0"/>
      <w:marBottom w:val="0"/>
      <w:divBdr>
        <w:top w:val="none" w:sz="0" w:space="0" w:color="auto"/>
        <w:left w:val="none" w:sz="0" w:space="0" w:color="auto"/>
        <w:bottom w:val="none" w:sz="0" w:space="0" w:color="auto"/>
        <w:right w:val="none" w:sz="0" w:space="0" w:color="auto"/>
      </w:divBdr>
    </w:div>
    <w:div w:id="1288660536">
      <w:bodyDiv w:val="1"/>
      <w:marLeft w:val="0"/>
      <w:marRight w:val="0"/>
      <w:marTop w:val="0"/>
      <w:marBottom w:val="0"/>
      <w:divBdr>
        <w:top w:val="none" w:sz="0" w:space="0" w:color="auto"/>
        <w:left w:val="none" w:sz="0" w:space="0" w:color="auto"/>
        <w:bottom w:val="none" w:sz="0" w:space="0" w:color="auto"/>
        <w:right w:val="none" w:sz="0" w:space="0" w:color="auto"/>
      </w:divBdr>
    </w:div>
    <w:div w:id="1299920874">
      <w:bodyDiv w:val="1"/>
      <w:marLeft w:val="0"/>
      <w:marRight w:val="0"/>
      <w:marTop w:val="0"/>
      <w:marBottom w:val="0"/>
      <w:divBdr>
        <w:top w:val="none" w:sz="0" w:space="0" w:color="auto"/>
        <w:left w:val="none" w:sz="0" w:space="0" w:color="auto"/>
        <w:bottom w:val="none" w:sz="0" w:space="0" w:color="auto"/>
        <w:right w:val="none" w:sz="0" w:space="0" w:color="auto"/>
      </w:divBdr>
    </w:div>
    <w:div w:id="1308586194">
      <w:bodyDiv w:val="1"/>
      <w:marLeft w:val="0"/>
      <w:marRight w:val="0"/>
      <w:marTop w:val="0"/>
      <w:marBottom w:val="0"/>
      <w:divBdr>
        <w:top w:val="none" w:sz="0" w:space="0" w:color="auto"/>
        <w:left w:val="none" w:sz="0" w:space="0" w:color="auto"/>
        <w:bottom w:val="none" w:sz="0" w:space="0" w:color="auto"/>
        <w:right w:val="none" w:sz="0" w:space="0" w:color="auto"/>
      </w:divBdr>
    </w:div>
    <w:div w:id="1312060844">
      <w:bodyDiv w:val="1"/>
      <w:marLeft w:val="0"/>
      <w:marRight w:val="0"/>
      <w:marTop w:val="0"/>
      <w:marBottom w:val="0"/>
      <w:divBdr>
        <w:top w:val="none" w:sz="0" w:space="0" w:color="auto"/>
        <w:left w:val="none" w:sz="0" w:space="0" w:color="auto"/>
        <w:bottom w:val="none" w:sz="0" w:space="0" w:color="auto"/>
        <w:right w:val="none" w:sz="0" w:space="0" w:color="auto"/>
      </w:divBdr>
    </w:div>
    <w:div w:id="1340346957">
      <w:bodyDiv w:val="1"/>
      <w:marLeft w:val="0"/>
      <w:marRight w:val="0"/>
      <w:marTop w:val="0"/>
      <w:marBottom w:val="0"/>
      <w:divBdr>
        <w:top w:val="none" w:sz="0" w:space="0" w:color="auto"/>
        <w:left w:val="none" w:sz="0" w:space="0" w:color="auto"/>
        <w:bottom w:val="none" w:sz="0" w:space="0" w:color="auto"/>
        <w:right w:val="none" w:sz="0" w:space="0" w:color="auto"/>
      </w:divBdr>
      <w:divsChild>
        <w:div w:id="225996493">
          <w:marLeft w:val="480"/>
          <w:marRight w:val="0"/>
          <w:marTop w:val="0"/>
          <w:marBottom w:val="0"/>
          <w:divBdr>
            <w:top w:val="none" w:sz="0" w:space="0" w:color="auto"/>
            <w:left w:val="none" w:sz="0" w:space="0" w:color="auto"/>
            <w:bottom w:val="none" w:sz="0" w:space="0" w:color="auto"/>
            <w:right w:val="none" w:sz="0" w:space="0" w:color="auto"/>
          </w:divBdr>
          <w:divsChild>
            <w:div w:id="762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5260">
      <w:bodyDiv w:val="1"/>
      <w:marLeft w:val="0"/>
      <w:marRight w:val="0"/>
      <w:marTop w:val="0"/>
      <w:marBottom w:val="0"/>
      <w:divBdr>
        <w:top w:val="none" w:sz="0" w:space="0" w:color="auto"/>
        <w:left w:val="none" w:sz="0" w:space="0" w:color="auto"/>
        <w:bottom w:val="none" w:sz="0" w:space="0" w:color="auto"/>
        <w:right w:val="none" w:sz="0" w:space="0" w:color="auto"/>
      </w:divBdr>
    </w:div>
    <w:div w:id="1422407153">
      <w:bodyDiv w:val="1"/>
      <w:marLeft w:val="0"/>
      <w:marRight w:val="0"/>
      <w:marTop w:val="0"/>
      <w:marBottom w:val="0"/>
      <w:divBdr>
        <w:top w:val="none" w:sz="0" w:space="0" w:color="auto"/>
        <w:left w:val="none" w:sz="0" w:space="0" w:color="auto"/>
        <w:bottom w:val="none" w:sz="0" w:space="0" w:color="auto"/>
        <w:right w:val="none" w:sz="0" w:space="0" w:color="auto"/>
      </w:divBdr>
    </w:div>
    <w:div w:id="1426800457">
      <w:bodyDiv w:val="1"/>
      <w:marLeft w:val="0"/>
      <w:marRight w:val="0"/>
      <w:marTop w:val="0"/>
      <w:marBottom w:val="0"/>
      <w:divBdr>
        <w:top w:val="none" w:sz="0" w:space="0" w:color="auto"/>
        <w:left w:val="none" w:sz="0" w:space="0" w:color="auto"/>
        <w:bottom w:val="none" w:sz="0" w:space="0" w:color="auto"/>
        <w:right w:val="none" w:sz="0" w:space="0" w:color="auto"/>
      </w:divBdr>
    </w:div>
    <w:div w:id="1430352361">
      <w:bodyDiv w:val="1"/>
      <w:marLeft w:val="0"/>
      <w:marRight w:val="0"/>
      <w:marTop w:val="0"/>
      <w:marBottom w:val="0"/>
      <w:divBdr>
        <w:top w:val="none" w:sz="0" w:space="0" w:color="auto"/>
        <w:left w:val="none" w:sz="0" w:space="0" w:color="auto"/>
        <w:bottom w:val="none" w:sz="0" w:space="0" w:color="auto"/>
        <w:right w:val="none" w:sz="0" w:space="0" w:color="auto"/>
      </w:divBdr>
    </w:div>
    <w:div w:id="1435589893">
      <w:bodyDiv w:val="1"/>
      <w:marLeft w:val="0"/>
      <w:marRight w:val="0"/>
      <w:marTop w:val="0"/>
      <w:marBottom w:val="0"/>
      <w:divBdr>
        <w:top w:val="none" w:sz="0" w:space="0" w:color="auto"/>
        <w:left w:val="none" w:sz="0" w:space="0" w:color="auto"/>
        <w:bottom w:val="none" w:sz="0" w:space="0" w:color="auto"/>
        <w:right w:val="none" w:sz="0" w:space="0" w:color="auto"/>
      </w:divBdr>
    </w:div>
    <w:div w:id="1437600445">
      <w:bodyDiv w:val="1"/>
      <w:marLeft w:val="0"/>
      <w:marRight w:val="0"/>
      <w:marTop w:val="0"/>
      <w:marBottom w:val="0"/>
      <w:divBdr>
        <w:top w:val="none" w:sz="0" w:space="0" w:color="auto"/>
        <w:left w:val="none" w:sz="0" w:space="0" w:color="auto"/>
        <w:bottom w:val="none" w:sz="0" w:space="0" w:color="auto"/>
        <w:right w:val="none" w:sz="0" w:space="0" w:color="auto"/>
      </w:divBdr>
    </w:div>
    <w:div w:id="1443918969">
      <w:bodyDiv w:val="1"/>
      <w:marLeft w:val="0"/>
      <w:marRight w:val="0"/>
      <w:marTop w:val="0"/>
      <w:marBottom w:val="0"/>
      <w:divBdr>
        <w:top w:val="none" w:sz="0" w:space="0" w:color="auto"/>
        <w:left w:val="none" w:sz="0" w:space="0" w:color="auto"/>
        <w:bottom w:val="none" w:sz="0" w:space="0" w:color="auto"/>
        <w:right w:val="none" w:sz="0" w:space="0" w:color="auto"/>
      </w:divBdr>
    </w:div>
    <w:div w:id="1465778412">
      <w:bodyDiv w:val="1"/>
      <w:marLeft w:val="0"/>
      <w:marRight w:val="0"/>
      <w:marTop w:val="0"/>
      <w:marBottom w:val="0"/>
      <w:divBdr>
        <w:top w:val="none" w:sz="0" w:space="0" w:color="auto"/>
        <w:left w:val="none" w:sz="0" w:space="0" w:color="auto"/>
        <w:bottom w:val="none" w:sz="0" w:space="0" w:color="auto"/>
        <w:right w:val="none" w:sz="0" w:space="0" w:color="auto"/>
      </w:divBdr>
    </w:div>
    <w:div w:id="1472865987">
      <w:bodyDiv w:val="1"/>
      <w:marLeft w:val="0"/>
      <w:marRight w:val="0"/>
      <w:marTop w:val="0"/>
      <w:marBottom w:val="0"/>
      <w:divBdr>
        <w:top w:val="none" w:sz="0" w:space="0" w:color="auto"/>
        <w:left w:val="none" w:sz="0" w:space="0" w:color="auto"/>
        <w:bottom w:val="none" w:sz="0" w:space="0" w:color="auto"/>
        <w:right w:val="none" w:sz="0" w:space="0" w:color="auto"/>
      </w:divBdr>
    </w:div>
    <w:div w:id="1489252535">
      <w:bodyDiv w:val="1"/>
      <w:marLeft w:val="0"/>
      <w:marRight w:val="0"/>
      <w:marTop w:val="0"/>
      <w:marBottom w:val="0"/>
      <w:divBdr>
        <w:top w:val="none" w:sz="0" w:space="0" w:color="auto"/>
        <w:left w:val="none" w:sz="0" w:space="0" w:color="auto"/>
        <w:bottom w:val="none" w:sz="0" w:space="0" w:color="auto"/>
        <w:right w:val="none" w:sz="0" w:space="0" w:color="auto"/>
      </w:divBdr>
    </w:div>
    <w:div w:id="1521044956">
      <w:bodyDiv w:val="1"/>
      <w:marLeft w:val="0"/>
      <w:marRight w:val="0"/>
      <w:marTop w:val="0"/>
      <w:marBottom w:val="0"/>
      <w:divBdr>
        <w:top w:val="none" w:sz="0" w:space="0" w:color="auto"/>
        <w:left w:val="none" w:sz="0" w:space="0" w:color="auto"/>
        <w:bottom w:val="none" w:sz="0" w:space="0" w:color="auto"/>
        <w:right w:val="none" w:sz="0" w:space="0" w:color="auto"/>
      </w:divBdr>
    </w:div>
    <w:div w:id="1566836301">
      <w:bodyDiv w:val="1"/>
      <w:marLeft w:val="0"/>
      <w:marRight w:val="0"/>
      <w:marTop w:val="0"/>
      <w:marBottom w:val="0"/>
      <w:divBdr>
        <w:top w:val="none" w:sz="0" w:space="0" w:color="auto"/>
        <w:left w:val="none" w:sz="0" w:space="0" w:color="auto"/>
        <w:bottom w:val="none" w:sz="0" w:space="0" w:color="auto"/>
        <w:right w:val="none" w:sz="0" w:space="0" w:color="auto"/>
      </w:divBdr>
    </w:div>
    <w:div w:id="1586722731">
      <w:bodyDiv w:val="1"/>
      <w:marLeft w:val="0"/>
      <w:marRight w:val="0"/>
      <w:marTop w:val="0"/>
      <w:marBottom w:val="0"/>
      <w:divBdr>
        <w:top w:val="none" w:sz="0" w:space="0" w:color="auto"/>
        <w:left w:val="none" w:sz="0" w:space="0" w:color="auto"/>
        <w:bottom w:val="none" w:sz="0" w:space="0" w:color="auto"/>
        <w:right w:val="none" w:sz="0" w:space="0" w:color="auto"/>
      </w:divBdr>
    </w:div>
    <w:div w:id="1598095722">
      <w:bodyDiv w:val="1"/>
      <w:marLeft w:val="0"/>
      <w:marRight w:val="0"/>
      <w:marTop w:val="0"/>
      <w:marBottom w:val="0"/>
      <w:divBdr>
        <w:top w:val="none" w:sz="0" w:space="0" w:color="auto"/>
        <w:left w:val="none" w:sz="0" w:space="0" w:color="auto"/>
        <w:bottom w:val="none" w:sz="0" w:space="0" w:color="auto"/>
        <w:right w:val="none" w:sz="0" w:space="0" w:color="auto"/>
      </w:divBdr>
    </w:div>
    <w:div w:id="1611476269">
      <w:bodyDiv w:val="1"/>
      <w:marLeft w:val="0"/>
      <w:marRight w:val="0"/>
      <w:marTop w:val="0"/>
      <w:marBottom w:val="0"/>
      <w:divBdr>
        <w:top w:val="none" w:sz="0" w:space="0" w:color="auto"/>
        <w:left w:val="none" w:sz="0" w:space="0" w:color="auto"/>
        <w:bottom w:val="none" w:sz="0" w:space="0" w:color="auto"/>
        <w:right w:val="none" w:sz="0" w:space="0" w:color="auto"/>
      </w:divBdr>
    </w:div>
    <w:div w:id="1635914324">
      <w:bodyDiv w:val="1"/>
      <w:marLeft w:val="0"/>
      <w:marRight w:val="0"/>
      <w:marTop w:val="0"/>
      <w:marBottom w:val="0"/>
      <w:divBdr>
        <w:top w:val="none" w:sz="0" w:space="0" w:color="auto"/>
        <w:left w:val="none" w:sz="0" w:space="0" w:color="auto"/>
        <w:bottom w:val="none" w:sz="0" w:space="0" w:color="auto"/>
        <w:right w:val="none" w:sz="0" w:space="0" w:color="auto"/>
      </w:divBdr>
    </w:div>
    <w:div w:id="1668094411">
      <w:bodyDiv w:val="1"/>
      <w:marLeft w:val="0"/>
      <w:marRight w:val="0"/>
      <w:marTop w:val="0"/>
      <w:marBottom w:val="0"/>
      <w:divBdr>
        <w:top w:val="none" w:sz="0" w:space="0" w:color="auto"/>
        <w:left w:val="none" w:sz="0" w:space="0" w:color="auto"/>
        <w:bottom w:val="none" w:sz="0" w:space="0" w:color="auto"/>
        <w:right w:val="none" w:sz="0" w:space="0" w:color="auto"/>
      </w:divBdr>
    </w:div>
    <w:div w:id="1674334988">
      <w:bodyDiv w:val="1"/>
      <w:marLeft w:val="0"/>
      <w:marRight w:val="0"/>
      <w:marTop w:val="0"/>
      <w:marBottom w:val="0"/>
      <w:divBdr>
        <w:top w:val="none" w:sz="0" w:space="0" w:color="auto"/>
        <w:left w:val="none" w:sz="0" w:space="0" w:color="auto"/>
        <w:bottom w:val="none" w:sz="0" w:space="0" w:color="auto"/>
        <w:right w:val="none" w:sz="0" w:space="0" w:color="auto"/>
      </w:divBdr>
    </w:div>
    <w:div w:id="1681658953">
      <w:bodyDiv w:val="1"/>
      <w:marLeft w:val="0"/>
      <w:marRight w:val="0"/>
      <w:marTop w:val="0"/>
      <w:marBottom w:val="0"/>
      <w:divBdr>
        <w:top w:val="none" w:sz="0" w:space="0" w:color="auto"/>
        <w:left w:val="none" w:sz="0" w:space="0" w:color="auto"/>
        <w:bottom w:val="none" w:sz="0" w:space="0" w:color="auto"/>
        <w:right w:val="none" w:sz="0" w:space="0" w:color="auto"/>
      </w:divBdr>
    </w:div>
    <w:div w:id="1758479575">
      <w:bodyDiv w:val="1"/>
      <w:marLeft w:val="0"/>
      <w:marRight w:val="0"/>
      <w:marTop w:val="0"/>
      <w:marBottom w:val="0"/>
      <w:divBdr>
        <w:top w:val="none" w:sz="0" w:space="0" w:color="auto"/>
        <w:left w:val="none" w:sz="0" w:space="0" w:color="auto"/>
        <w:bottom w:val="none" w:sz="0" w:space="0" w:color="auto"/>
        <w:right w:val="none" w:sz="0" w:space="0" w:color="auto"/>
      </w:divBdr>
    </w:div>
    <w:div w:id="1783986639">
      <w:bodyDiv w:val="1"/>
      <w:marLeft w:val="0"/>
      <w:marRight w:val="0"/>
      <w:marTop w:val="0"/>
      <w:marBottom w:val="0"/>
      <w:divBdr>
        <w:top w:val="none" w:sz="0" w:space="0" w:color="auto"/>
        <w:left w:val="none" w:sz="0" w:space="0" w:color="auto"/>
        <w:bottom w:val="none" w:sz="0" w:space="0" w:color="auto"/>
        <w:right w:val="none" w:sz="0" w:space="0" w:color="auto"/>
      </w:divBdr>
    </w:div>
    <w:div w:id="1785029314">
      <w:bodyDiv w:val="1"/>
      <w:marLeft w:val="0"/>
      <w:marRight w:val="0"/>
      <w:marTop w:val="0"/>
      <w:marBottom w:val="0"/>
      <w:divBdr>
        <w:top w:val="none" w:sz="0" w:space="0" w:color="auto"/>
        <w:left w:val="none" w:sz="0" w:space="0" w:color="auto"/>
        <w:bottom w:val="none" w:sz="0" w:space="0" w:color="auto"/>
        <w:right w:val="none" w:sz="0" w:space="0" w:color="auto"/>
      </w:divBdr>
    </w:div>
    <w:div w:id="1795783778">
      <w:bodyDiv w:val="1"/>
      <w:marLeft w:val="0"/>
      <w:marRight w:val="0"/>
      <w:marTop w:val="0"/>
      <w:marBottom w:val="0"/>
      <w:divBdr>
        <w:top w:val="none" w:sz="0" w:space="0" w:color="auto"/>
        <w:left w:val="none" w:sz="0" w:space="0" w:color="auto"/>
        <w:bottom w:val="none" w:sz="0" w:space="0" w:color="auto"/>
        <w:right w:val="none" w:sz="0" w:space="0" w:color="auto"/>
      </w:divBdr>
    </w:div>
    <w:div w:id="1805654141">
      <w:bodyDiv w:val="1"/>
      <w:marLeft w:val="0"/>
      <w:marRight w:val="0"/>
      <w:marTop w:val="0"/>
      <w:marBottom w:val="0"/>
      <w:divBdr>
        <w:top w:val="none" w:sz="0" w:space="0" w:color="auto"/>
        <w:left w:val="none" w:sz="0" w:space="0" w:color="auto"/>
        <w:bottom w:val="none" w:sz="0" w:space="0" w:color="auto"/>
        <w:right w:val="none" w:sz="0" w:space="0" w:color="auto"/>
      </w:divBdr>
    </w:div>
    <w:div w:id="1826848591">
      <w:bodyDiv w:val="1"/>
      <w:marLeft w:val="0"/>
      <w:marRight w:val="0"/>
      <w:marTop w:val="0"/>
      <w:marBottom w:val="0"/>
      <w:divBdr>
        <w:top w:val="none" w:sz="0" w:space="0" w:color="auto"/>
        <w:left w:val="none" w:sz="0" w:space="0" w:color="auto"/>
        <w:bottom w:val="none" w:sz="0" w:space="0" w:color="auto"/>
        <w:right w:val="none" w:sz="0" w:space="0" w:color="auto"/>
      </w:divBdr>
    </w:div>
    <w:div w:id="1852138305">
      <w:bodyDiv w:val="1"/>
      <w:marLeft w:val="0"/>
      <w:marRight w:val="0"/>
      <w:marTop w:val="0"/>
      <w:marBottom w:val="0"/>
      <w:divBdr>
        <w:top w:val="none" w:sz="0" w:space="0" w:color="auto"/>
        <w:left w:val="none" w:sz="0" w:space="0" w:color="auto"/>
        <w:bottom w:val="none" w:sz="0" w:space="0" w:color="auto"/>
        <w:right w:val="none" w:sz="0" w:space="0" w:color="auto"/>
      </w:divBdr>
    </w:div>
    <w:div w:id="1853646734">
      <w:bodyDiv w:val="1"/>
      <w:marLeft w:val="0"/>
      <w:marRight w:val="0"/>
      <w:marTop w:val="0"/>
      <w:marBottom w:val="0"/>
      <w:divBdr>
        <w:top w:val="none" w:sz="0" w:space="0" w:color="auto"/>
        <w:left w:val="none" w:sz="0" w:space="0" w:color="auto"/>
        <w:bottom w:val="none" w:sz="0" w:space="0" w:color="auto"/>
        <w:right w:val="none" w:sz="0" w:space="0" w:color="auto"/>
      </w:divBdr>
    </w:div>
    <w:div w:id="1860969273">
      <w:bodyDiv w:val="1"/>
      <w:marLeft w:val="0"/>
      <w:marRight w:val="0"/>
      <w:marTop w:val="0"/>
      <w:marBottom w:val="0"/>
      <w:divBdr>
        <w:top w:val="none" w:sz="0" w:space="0" w:color="auto"/>
        <w:left w:val="none" w:sz="0" w:space="0" w:color="auto"/>
        <w:bottom w:val="none" w:sz="0" w:space="0" w:color="auto"/>
        <w:right w:val="none" w:sz="0" w:space="0" w:color="auto"/>
      </w:divBdr>
    </w:div>
    <w:div w:id="1882327724">
      <w:bodyDiv w:val="1"/>
      <w:marLeft w:val="0"/>
      <w:marRight w:val="0"/>
      <w:marTop w:val="0"/>
      <w:marBottom w:val="0"/>
      <w:divBdr>
        <w:top w:val="none" w:sz="0" w:space="0" w:color="auto"/>
        <w:left w:val="none" w:sz="0" w:space="0" w:color="auto"/>
        <w:bottom w:val="none" w:sz="0" w:space="0" w:color="auto"/>
        <w:right w:val="none" w:sz="0" w:space="0" w:color="auto"/>
      </w:divBdr>
    </w:div>
    <w:div w:id="1883665981">
      <w:bodyDiv w:val="1"/>
      <w:marLeft w:val="0"/>
      <w:marRight w:val="0"/>
      <w:marTop w:val="0"/>
      <w:marBottom w:val="0"/>
      <w:divBdr>
        <w:top w:val="none" w:sz="0" w:space="0" w:color="auto"/>
        <w:left w:val="none" w:sz="0" w:space="0" w:color="auto"/>
        <w:bottom w:val="none" w:sz="0" w:space="0" w:color="auto"/>
        <w:right w:val="none" w:sz="0" w:space="0" w:color="auto"/>
      </w:divBdr>
    </w:div>
    <w:div w:id="1892303496">
      <w:bodyDiv w:val="1"/>
      <w:marLeft w:val="0"/>
      <w:marRight w:val="0"/>
      <w:marTop w:val="0"/>
      <w:marBottom w:val="0"/>
      <w:divBdr>
        <w:top w:val="none" w:sz="0" w:space="0" w:color="auto"/>
        <w:left w:val="none" w:sz="0" w:space="0" w:color="auto"/>
        <w:bottom w:val="none" w:sz="0" w:space="0" w:color="auto"/>
        <w:right w:val="none" w:sz="0" w:space="0" w:color="auto"/>
      </w:divBdr>
    </w:div>
    <w:div w:id="1907063214">
      <w:bodyDiv w:val="1"/>
      <w:marLeft w:val="0"/>
      <w:marRight w:val="0"/>
      <w:marTop w:val="0"/>
      <w:marBottom w:val="0"/>
      <w:divBdr>
        <w:top w:val="none" w:sz="0" w:space="0" w:color="auto"/>
        <w:left w:val="none" w:sz="0" w:space="0" w:color="auto"/>
        <w:bottom w:val="none" w:sz="0" w:space="0" w:color="auto"/>
        <w:right w:val="none" w:sz="0" w:space="0" w:color="auto"/>
      </w:divBdr>
      <w:divsChild>
        <w:div w:id="224487608">
          <w:marLeft w:val="480"/>
          <w:marRight w:val="0"/>
          <w:marTop w:val="0"/>
          <w:marBottom w:val="0"/>
          <w:divBdr>
            <w:top w:val="none" w:sz="0" w:space="0" w:color="auto"/>
            <w:left w:val="none" w:sz="0" w:space="0" w:color="auto"/>
            <w:bottom w:val="none" w:sz="0" w:space="0" w:color="auto"/>
            <w:right w:val="none" w:sz="0" w:space="0" w:color="auto"/>
          </w:divBdr>
          <w:divsChild>
            <w:div w:id="16188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2671">
      <w:bodyDiv w:val="1"/>
      <w:marLeft w:val="0"/>
      <w:marRight w:val="0"/>
      <w:marTop w:val="0"/>
      <w:marBottom w:val="0"/>
      <w:divBdr>
        <w:top w:val="none" w:sz="0" w:space="0" w:color="auto"/>
        <w:left w:val="none" w:sz="0" w:space="0" w:color="auto"/>
        <w:bottom w:val="none" w:sz="0" w:space="0" w:color="auto"/>
        <w:right w:val="none" w:sz="0" w:space="0" w:color="auto"/>
      </w:divBdr>
    </w:div>
    <w:div w:id="1925607202">
      <w:bodyDiv w:val="1"/>
      <w:marLeft w:val="0"/>
      <w:marRight w:val="0"/>
      <w:marTop w:val="0"/>
      <w:marBottom w:val="0"/>
      <w:divBdr>
        <w:top w:val="none" w:sz="0" w:space="0" w:color="auto"/>
        <w:left w:val="none" w:sz="0" w:space="0" w:color="auto"/>
        <w:bottom w:val="none" w:sz="0" w:space="0" w:color="auto"/>
        <w:right w:val="none" w:sz="0" w:space="0" w:color="auto"/>
      </w:divBdr>
    </w:div>
    <w:div w:id="1935086027">
      <w:bodyDiv w:val="1"/>
      <w:marLeft w:val="0"/>
      <w:marRight w:val="0"/>
      <w:marTop w:val="0"/>
      <w:marBottom w:val="0"/>
      <w:divBdr>
        <w:top w:val="none" w:sz="0" w:space="0" w:color="auto"/>
        <w:left w:val="none" w:sz="0" w:space="0" w:color="auto"/>
        <w:bottom w:val="none" w:sz="0" w:space="0" w:color="auto"/>
        <w:right w:val="none" w:sz="0" w:space="0" w:color="auto"/>
      </w:divBdr>
    </w:div>
    <w:div w:id="1951159632">
      <w:bodyDiv w:val="1"/>
      <w:marLeft w:val="0"/>
      <w:marRight w:val="0"/>
      <w:marTop w:val="0"/>
      <w:marBottom w:val="0"/>
      <w:divBdr>
        <w:top w:val="none" w:sz="0" w:space="0" w:color="auto"/>
        <w:left w:val="none" w:sz="0" w:space="0" w:color="auto"/>
        <w:bottom w:val="none" w:sz="0" w:space="0" w:color="auto"/>
        <w:right w:val="none" w:sz="0" w:space="0" w:color="auto"/>
      </w:divBdr>
    </w:div>
    <w:div w:id="2031487405">
      <w:bodyDiv w:val="1"/>
      <w:marLeft w:val="0"/>
      <w:marRight w:val="0"/>
      <w:marTop w:val="0"/>
      <w:marBottom w:val="0"/>
      <w:divBdr>
        <w:top w:val="none" w:sz="0" w:space="0" w:color="auto"/>
        <w:left w:val="none" w:sz="0" w:space="0" w:color="auto"/>
        <w:bottom w:val="none" w:sz="0" w:space="0" w:color="auto"/>
        <w:right w:val="none" w:sz="0" w:space="0" w:color="auto"/>
      </w:divBdr>
    </w:div>
    <w:div w:id="2063097435">
      <w:bodyDiv w:val="1"/>
      <w:marLeft w:val="0"/>
      <w:marRight w:val="0"/>
      <w:marTop w:val="0"/>
      <w:marBottom w:val="0"/>
      <w:divBdr>
        <w:top w:val="none" w:sz="0" w:space="0" w:color="auto"/>
        <w:left w:val="none" w:sz="0" w:space="0" w:color="auto"/>
        <w:bottom w:val="none" w:sz="0" w:space="0" w:color="auto"/>
        <w:right w:val="none" w:sz="0" w:space="0" w:color="auto"/>
      </w:divBdr>
    </w:div>
    <w:div w:id="2072994685">
      <w:bodyDiv w:val="1"/>
      <w:marLeft w:val="0"/>
      <w:marRight w:val="0"/>
      <w:marTop w:val="0"/>
      <w:marBottom w:val="0"/>
      <w:divBdr>
        <w:top w:val="none" w:sz="0" w:space="0" w:color="auto"/>
        <w:left w:val="none" w:sz="0" w:space="0" w:color="auto"/>
        <w:bottom w:val="none" w:sz="0" w:space="0" w:color="auto"/>
        <w:right w:val="none" w:sz="0" w:space="0" w:color="auto"/>
      </w:divBdr>
    </w:div>
    <w:div w:id="2081711050">
      <w:bodyDiv w:val="1"/>
      <w:marLeft w:val="0"/>
      <w:marRight w:val="0"/>
      <w:marTop w:val="0"/>
      <w:marBottom w:val="0"/>
      <w:divBdr>
        <w:top w:val="none" w:sz="0" w:space="0" w:color="auto"/>
        <w:left w:val="none" w:sz="0" w:space="0" w:color="auto"/>
        <w:bottom w:val="none" w:sz="0" w:space="0" w:color="auto"/>
        <w:right w:val="none" w:sz="0" w:space="0" w:color="auto"/>
      </w:divBdr>
    </w:div>
    <w:div w:id="2097552483">
      <w:bodyDiv w:val="1"/>
      <w:marLeft w:val="0"/>
      <w:marRight w:val="0"/>
      <w:marTop w:val="0"/>
      <w:marBottom w:val="0"/>
      <w:divBdr>
        <w:top w:val="none" w:sz="0" w:space="0" w:color="auto"/>
        <w:left w:val="none" w:sz="0" w:space="0" w:color="auto"/>
        <w:bottom w:val="none" w:sz="0" w:space="0" w:color="auto"/>
        <w:right w:val="none" w:sz="0" w:space="0" w:color="auto"/>
      </w:divBdr>
      <w:divsChild>
        <w:div w:id="227307491">
          <w:marLeft w:val="0"/>
          <w:marRight w:val="0"/>
          <w:marTop w:val="0"/>
          <w:marBottom w:val="0"/>
          <w:divBdr>
            <w:top w:val="none" w:sz="0" w:space="0" w:color="auto"/>
            <w:left w:val="none" w:sz="0" w:space="0" w:color="auto"/>
            <w:bottom w:val="none" w:sz="0" w:space="0" w:color="auto"/>
            <w:right w:val="none" w:sz="0" w:space="0" w:color="auto"/>
          </w:divBdr>
        </w:div>
        <w:div w:id="686173370">
          <w:marLeft w:val="0"/>
          <w:marRight w:val="0"/>
          <w:marTop w:val="0"/>
          <w:marBottom w:val="0"/>
          <w:divBdr>
            <w:top w:val="none" w:sz="0" w:space="0" w:color="auto"/>
            <w:left w:val="none" w:sz="0" w:space="0" w:color="auto"/>
            <w:bottom w:val="none" w:sz="0" w:space="0" w:color="auto"/>
            <w:right w:val="none" w:sz="0" w:space="0" w:color="auto"/>
          </w:divBdr>
          <w:divsChild>
            <w:div w:id="1388723973">
              <w:marLeft w:val="0"/>
              <w:marRight w:val="165"/>
              <w:marTop w:val="150"/>
              <w:marBottom w:val="0"/>
              <w:divBdr>
                <w:top w:val="none" w:sz="0" w:space="0" w:color="auto"/>
                <w:left w:val="none" w:sz="0" w:space="0" w:color="auto"/>
                <w:bottom w:val="none" w:sz="0" w:space="0" w:color="auto"/>
                <w:right w:val="none" w:sz="0" w:space="0" w:color="auto"/>
              </w:divBdr>
              <w:divsChild>
                <w:div w:id="508060167">
                  <w:marLeft w:val="0"/>
                  <w:marRight w:val="0"/>
                  <w:marTop w:val="0"/>
                  <w:marBottom w:val="0"/>
                  <w:divBdr>
                    <w:top w:val="none" w:sz="0" w:space="0" w:color="auto"/>
                    <w:left w:val="none" w:sz="0" w:space="0" w:color="auto"/>
                    <w:bottom w:val="none" w:sz="0" w:space="0" w:color="auto"/>
                    <w:right w:val="none" w:sz="0" w:space="0" w:color="auto"/>
                  </w:divBdr>
                  <w:divsChild>
                    <w:div w:id="123451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JP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emf"/><Relationship Id="rId11" Type="http://schemas.openxmlformats.org/officeDocument/2006/relationships/image" Target="media/image2.JP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20" Type="http://schemas.openxmlformats.org/officeDocument/2006/relationships/chart" Target="charts/chart1.xml"/><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1.JP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ita\Desktop\szakdolgozat_ESG\Refinitiv\Refinitiv_tiszt&#237;tott_AL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hu-HU" sz="1050" cap="all" baseline="0">
                <a:solidFill>
                  <a:schemeClr val="tx1">
                    <a:lumMod val="65000"/>
                    <a:lumOff val="35000"/>
                  </a:schemeClr>
                </a:solidFill>
                <a:latin typeface="Georgia" panose="02040502050405020303" pitchFamily="18" charset="0"/>
              </a:rPr>
              <a:t>A mintában szereplő vállalatok számának kontinensek szerinti megoszlása </a:t>
            </a:r>
          </a:p>
        </c:rich>
      </c:tx>
      <c:layout>
        <c:manualLayout>
          <c:xMode val="edge"/>
          <c:yMode val="edge"/>
          <c:x val="0.18370122484689416"/>
          <c:y val="4.1666666666666664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68-47AF-A904-69BAC1C5CDA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68-47AF-A904-69BAC1C5CDA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68-47AF-A904-69BAC1C5CDA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68-47AF-A904-69BAC1C5CDAD}"/>
              </c:ext>
            </c:extLst>
          </c:dPt>
          <c:dLbls>
            <c:dLbl>
              <c:idx val="0"/>
              <c:layout>
                <c:manualLayout>
                  <c:x val="-7.7813743645333111E-2"/>
                  <c:y val="0.17092757022393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68-47AF-A904-69BAC1C5CDAD}"/>
                </c:ext>
              </c:extLst>
            </c:dLbl>
            <c:dLbl>
              <c:idx val="1"/>
              <c:layout>
                <c:manualLayout>
                  <c:x val="-5.7958326432905313E-2"/>
                  <c:y val="-0.202144920472948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68-47AF-A904-69BAC1C5CDAD}"/>
                </c:ext>
              </c:extLst>
            </c:dLbl>
            <c:dLbl>
              <c:idx val="2"/>
              <c:layout>
                <c:manualLayout>
                  <c:x val="0.10733653513196127"/>
                  <c:y val="5.09754946008924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68-47AF-A904-69BAC1C5CDAD}"/>
                </c:ext>
              </c:extLst>
            </c:dLbl>
            <c:dLbl>
              <c:idx val="3"/>
              <c:layout>
                <c:manualLayout>
                  <c:x val="5.9837752116549424E-2"/>
                  <c:y val="0.163476446488676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568-47AF-A904-69BAC1C5CDA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Georgia" panose="02040502050405020303" pitchFamily="18" charset="0"/>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földrajz_minta!$A$11:$A$14</c:f>
              <c:strCache>
                <c:ptCount val="4"/>
                <c:pt idx="0">
                  <c:v>Amerika</c:v>
                </c:pt>
                <c:pt idx="1">
                  <c:v>Ázsia</c:v>
                </c:pt>
                <c:pt idx="2">
                  <c:v>Európa</c:v>
                </c:pt>
                <c:pt idx="3">
                  <c:v>Óceánia</c:v>
                </c:pt>
              </c:strCache>
            </c:strRef>
          </c:cat>
          <c:val>
            <c:numRef>
              <c:f>földrajz_minta!$B$11:$B$14</c:f>
              <c:numCache>
                <c:formatCode>General</c:formatCode>
                <c:ptCount val="4"/>
                <c:pt idx="0">
                  <c:v>8</c:v>
                </c:pt>
                <c:pt idx="1">
                  <c:v>19</c:v>
                </c:pt>
                <c:pt idx="2">
                  <c:v>9</c:v>
                </c:pt>
                <c:pt idx="3">
                  <c:v>4</c:v>
                </c:pt>
              </c:numCache>
            </c:numRef>
          </c:val>
          <c:extLst>
            <c:ext xmlns:c16="http://schemas.microsoft.com/office/drawing/2014/chart" uri="{C3380CC4-5D6E-409C-BE32-E72D297353CC}">
              <c16:uniqueId val="{00000008-6568-47AF-A904-69BAC1C5CDA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169138274541686"/>
          <c:y val="0.35908659386628894"/>
          <c:w val="0.17047659667541556"/>
          <c:h val="0.460650335374744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Georgia" panose="02040502050405020303" pitchFamily="18" charset="0"/>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52CB6-82F9-4923-AF61-E824542C0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41910</Words>
  <Characters>289184</Characters>
  <Application>Microsoft Office Word</Application>
  <DocSecurity>0</DocSecurity>
  <Lines>2409</Lines>
  <Paragraphs>660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 Rita</dc:creator>
  <cp:keywords/>
  <dc:description/>
  <cp:lastModifiedBy>Medgyesné Pisztrai Rita</cp:lastModifiedBy>
  <cp:revision>2</cp:revision>
  <dcterms:created xsi:type="dcterms:W3CDTF">2022-12-12T12:15:00Z</dcterms:created>
  <dcterms:modified xsi:type="dcterms:W3CDTF">2022-12-12T12:15:00Z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id="WirFldXl"/&gt;&lt;style id="http://www.zotero.org/styles/apa" locale="hu-HU" hasBibliography="1" bibliographyStyleHasBeenSet="1"/&gt;&lt;prefs&gt;&lt;pref name="fieldType" value="Field"/&gt;&lt;/prefs&gt;&lt;/data&gt;</vt:lpwstr>
  </property>
</Properties>
</file>