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9A" w:rsidRDefault="00FD68D2" w:rsidP="00FD68D2">
      <w:pPr>
        <w:pStyle w:val="Cmsor1"/>
        <w:numPr>
          <w:ilvl w:val="0"/>
          <w:numId w:val="0"/>
        </w:numPr>
        <w:ind w:left="432"/>
        <w:jc w:val="center"/>
      </w:pPr>
      <w:bookmarkStart w:id="0" w:name="_Toc434181019"/>
      <w:bookmarkStart w:id="1" w:name="_Toc434689791"/>
      <w:r>
        <w:t xml:space="preserve">Konkoly Csaba: </w:t>
      </w:r>
      <w:r w:rsidR="00126740">
        <w:t xml:space="preserve">Mit kell tudni az </w:t>
      </w:r>
      <w:r w:rsidR="00FF0C9A" w:rsidRPr="00AC5D57">
        <w:t>IFRS 9</w:t>
      </w:r>
      <w:bookmarkEnd w:id="0"/>
      <w:bookmarkEnd w:id="1"/>
      <w:r w:rsidR="00126740">
        <w:t xml:space="preserve">-ről? </w:t>
      </w:r>
    </w:p>
    <w:p w:rsidR="00FD68D2" w:rsidRPr="00FD68D2" w:rsidRDefault="00FD68D2" w:rsidP="00FD68D2"/>
    <w:p w:rsidR="00FF0C9A" w:rsidRPr="00AC5D57" w:rsidRDefault="00FF0C9A" w:rsidP="00FF0C9A">
      <w:pPr>
        <w:pStyle w:val="Cmsor2"/>
      </w:pPr>
      <w:bookmarkStart w:id="2" w:name="_Toc434181020"/>
      <w:bookmarkStart w:id="3" w:name="_Toc434689792"/>
      <w:r w:rsidRPr="00AC5D57">
        <w:t>Bemutatás</w:t>
      </w:r>
      <w:bookmarkEnd w:id="2"/>
      <w:bookmarkEnd w:id="3"/>
    </w:p>
    <w:p w:rsidR="00524E9A" w:rsidRDefault="00524E9A" w:rsidP="00524E9A">
      <w:pPr>
        <w:autoSpaceDE w:val="0"/>
        <w:autoSpaceDN w:val="0"/>
        <w:adjustRightInd w:val="0"/>
        <w:spacing w:after="0" w:line="24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2000-es évek második felére világossá vált, hogy a pénzügyi instrumentumok számvitelét – a felmerülő igényeknek megfelelően – forradalmasítani kell. Az akkor hatályban lévő IAS 39 Pénzügyi instrumentumok: bekerülés és értékelés standard megújítása szükségessé vált, ezt a folyamatot alapvetően </w:t>
      </w:r>
      <w:r w:rsidRPr="007D6EBA">
        <w:rPr>
          <w:rFonts w:ascii="Times New Roman" w:hAnsi="Times New Roman" w:cs="Times New Roman"/>
          <w:b/>
          <w:sz w:val="24"/>
          <w:szCs w:val="24"/>
        </w:rPr>
        <w:t>három főbb lépésben</w:t>
      </w:r>
      <w:r w:rsidRPr="00AC5D57">
        <w:rPr>
          <w:rFonts w:ascii="Times New Roman" w:hAnsi="Times New Roman" w:cs="Times New Roman"/>
          <w:sz w:val="24"/>
          <w:szCs w:val="24"/>
        </w:rPr>
        <w:t xml:space="preserve"> tervezte megvalósítani az IASB, ezzel párhuzamosan kialakítva egy új standardot, az IFRS 9-et. Ma is ez a három rész alkotja az IFRS 9 gerincét:</w:t>
      </w:r>
    </w:p>
    <w:p w:rsidR="00FF0C9A" w:rsidRPr="00AC5D57" w:rsidRDefault="00FF0C9A" w:rsidP="00174EBB">
      <w:pPr>
        <w:pStyle w:val="Listaszerbekezds"/>
        <w:numPr>
          <w:ilvl w:val="0"/>
          <w:numId w:val="2"/>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pénzügyi instrumentumok besorolása és értékelése</w:t>
      </w:r>
    </w:p>
    <w:p w:rsidR="00FF0C9A" w:rsidRPr="00AC5D57" w:rsidRDefault="00FF0C9A" w:rsidP="00174EBB">
      <w:pPr>
        <w:pStyle w:val="Listaszerbekezds"/>
        <w:numPr>
          <w:ilvl w:val="0"/>
          <w:numId w:val="2"/>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pénzügyi eszközök értékvesztése</w:t>
      </w:r>
    </w:p>
    <w:p w:rsidR="00FF0C9A" w:rsidRPr="00AC5D57" w:rsidRDefault="00FF0C9A" w:rsidP="00174EBB">
      <w:pPr>
        <w:pStyle w:val="Listaszerbekezds"/>
        <w:numPr>
          <w:ilvl w:val="0"/>
          <w:numId w:val="2"/>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fedezeti számvitel.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standard ezek mellett a pénzügyi instrum</w:t>
      </w:r>
      <w:r w:rsidR="00524E9A">
        <w:rPr>
          <w:rFonts w:ascii="Times New Roman" w:hAnsi="Times New Roman" w:cs="Times New Roman"/>
          <w:sz w:val="24"/>
          <w:szCs w:val="24"/>
        </w:rPr>
        <w:t>entumok megjelenítésével és</w:t>
      </w:r>
      <w:r w:rsidRPr="00AC5D57">
        <w:rPr>
          <w:rFonts w:ascii="Times New Roman" w:hAnsi="Times New Roman" w:cs="Times New Roman"/>
          <w:sz w:val="24"/>
          <w:szCs w:val="24"/>
        </w:rPr>
        <w:t xml:space="preserve"> kivezetésé</w:t>
      </w:r>
      <w:r w:rsidR="00524E9A">
        <w:rPr>
          <w:rFonts w:ascii="Times New Roman" w:hAnsi="Times New Roman" w:cs="Times New Roman"/>
          <w:sz w:val="24"/>
          <w:szCs w:val="24"/>
        </w:rPr>
        <w:t>vel is foglalkozik</w:t>
      </w:r>
      <w:r w:rsidRPr="00AC5D57">
        <w:rPr>
          <w:rFonts w:ascii="Times New Roman" w:hAnsi="Times New Roman" w:cs="Times New Roman"/>
          <w:sz w:val="24"/>
          <w:szCs w:val="24"/>
        </w:rPr>
        <w: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IFRS 9 „végleges” változatát 2014 júliusában adták ki, amely felülírta az összes addigi verziót és várhatóan a 2018. január 1-jén vagy azt követően kezdődő időszakokra lesz kötelezően hatályos. Korábbi alkalmazása természetesen engedélyezett.</w:t>
      </w:r>
    </w:p>
    <w:p w:rsidR="00FF0C9A" w:rsidRPr="00AC5D57" w:rsidRDefault="00FF0C9A" w:rsidP="00FF0C9A">
      <w:pPr>
        <w:autoSpaceDE w:val="0"/>
        <w:autoSpaceDN w:val="0"/>
        <w:adjustRightInd w:val="0"/>
        <w:spacing w:after="24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2018. január </w:t>
      </w:r>
      <w:proofErr w:type="gramStart"/>
      <w:r w:rsidRPr="00AC5D57">
        <w:rPr>
          <w:rFonts w:ascii="Times New Roman" w:hAnsi="Times New Roman" w:cs="Times New Roman"/>
          <w:sz w:val="24"/>
          <w:szCs w:val="24"/>
        </w:rPr>
        <w:t>1-je előtt</w:t>
      </w:r>
      <w:proofErr w:type="gramEnd"/>
      <w:r w:rsidRPr="00AC5D57">
        <w:rPr>
          <w:rFonts w:ascii="Times New Roman" w:hAnsi="Times New Roman" w:cs="Times New Roman"/>
          <w:sz w:val="24"/>
          <w:szCs w:val="24"/>
        </w:rPr>
        <w:t xml:space="preserve"> kezdődő időszakokra az IFRS 9 régebbi verziói is alkalmazhatóak, amennyiben az adott társaság által történt kezdeti alkalmazás 2015. február 1-je előtt volt.</w:t>
      </w:r>
      <w:r w:rsidRPr="00AC5D57">
        <w:rPr>
          <w:rFonts w:ascii="Times New Roman" w:hAnsi="Times New Roman" w:cs="Times New Roman"/>
          <w:sz w:val="24"/>
          <w:szCs w:val="24"/>
        </w:rPr>
        <w:br w:type="page"/>
      </w:r>
    </w:p>
    <w:p w:rsidR="00FF0C9A" w:rsidRPr="00AC5D57" w:rsidRDefault="00FF0C9A" w:rsidP="00FF0C9A">
      <w:pPr>
        <w:pStyle w:val="Cmsor2"/>
      </w:pPr>
      <w:bookmarkStart w:id="4" w:name="_Toc434181021"/>
      <w:bookmarkStart w:id="5" w:name="_Toc434689793"/>
      <w:r w:rsidRPr="00AC5D57">
        <w:t>Besorolás</w:t>
      </w:r>
      <w:bookmarkEnd w:id="4"/>
      <w:bookmarkEnd w:id="5"/>
    </w:p>
    <w:p w:rsidR="00524E9A" w:rsidRDefault="00524E9A" w:rsidP="00524E9A">
      <w:pPr>
        <w:autoSpaceDE w:val="0"/>
        <w:autoSpaceDN w:val="0"/>
        <w:adjustRightInd w:val="0"/>
        <w:spacing w:after="0" w:line="240" w:lineRule="auto"/>
        <w:jc w:val="both"/>
        <w:rPr>
          <w:rFonts w:ascii="Times New Roman" w:hAnsi="Times New Roman" w:cs="Times New Roman"/>
          <w:sz w:val="24"/>
          <w:szCs w:val="24"/>
        </w:rPr>
      </w:pPr>
    </w:p>
    <w:p w:rsidR="00FF0C9A" w:rsidRDefault="00524E9A" w:rsidP="00FF0C9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00FF0C9A" w:rsidRPr="00AC5D57">
        <w:rPr>
          <w:rFonts w:ascii="Times New Roman" w:hAnsi="Times New Roman" w:cs="Times New Roman"/>
          <w:sz w:val="24"/>
          <w:szCs w:val="24"/>
        </w:rPr>
        <w:t xml:space="preserve">z IFRS 9 standard a pénzügyi instrumentumokat kétféleképpen értékeli: </w:t>
      </w:r>
      <w:r w:rsidR="00FF0C9A" w:rsidRPr="003835A2">
        <w:rPr>
          <w:rFonts w:ascii="Times New Roman" w:hAnsi="Times New Roman" w:cs="Times New Roman"/>
          <w:b/>
          <w:sz w:val="24"/>
          <w:szCs w:val="24"/>
        </w:rPr>
        <w:t>amortizált bekerülési értéken</w:t>
      </w:r>
      <w:r w:rsidR="00FF0C9A" w:rsidRPr="00AC5D57">
        <w:rPr>
          <w:rFonts w:ascii="Times New Roman" w:hAnsi="Times New Roman" w:cs="Times New Roman"/>
          <w:sz w:val="24"/>
          <w:szCs w:val="24"/>
        </w:rPr>
        <w:t xml:space="preserve"> vagy </w:t>
      </w:r>
      <w:r w:rsidR="00FF0C9A" w:rsidRPr="003835A2">
        <w:rPr>
          <w:rFonts w:ascii="Times New Roman" w:hAnsi="Times New Roman" w:cs="Times New Roman"/>
          <w:b/>
          <w:sz w:val="24"/>
          <w:szCs w:val="24"/>
        </w:rPr>
        <w:t>valós értéken</w:t>
      </w:r>
      <w:r w:rsidR="00FF0C9A" w:rsidRPr="00AC5D57">
        <w:rPr>
          <w:rStyle w:val="Lbjegyzet-hivatkozs"/>
          <w:rFonts w:ascii="Times New Roman" w:hAnsi="Times New Roman" w:cs="Times New Roman"/>
          <w:sz w:val="24"/>
          <w:szCs w:val="24"/>
        </w:rPr>
        <w:footnoteReference w:id="1"/>
      </w:r>
      <w:r w:rsidR="00FF0C9A" w:rsidRPr="00AC5D57">
        <w:rPr>
          <w:rFonts w:ascii="Times New Roman" w:hAnsi="Times New Roman" w:cs="Times New Roman"/>
          <w:sz w:val="24"/>
          <w:szCs w:val="24"/>
        </w:rPr>
        <w:t xml:space="preserve">. </w:t>
      </w:r>
      <w:proofErr w:type="gramStart"/>
      <w:r w:rsidR="00FF0C9A" w:rsidRPr="00AC5D57">
        <w:rPr>
          <w:rFonts w:ascii="Times New Roman" w:hAnsi="Times New Roman" w:cs="Times New Roman"/>
          <w:sz w:val="24"/>
          <w:szCs w:val="24"/>
        </w:rPr>
        <w:t>A</w:t>
      </w:r>
      <w:proofErr w:type="gramEnd"/>
      <w:r w:rsidR="00FF0C9A" w:rsidRPr="00AC5D57">
        <w:rPr>
          <w:rFonts w:ascii="Times New Roman" w:hAnsi="Times New Roman" w:cs="Times New Roman"/>
          <w:sz w:val="24"/>
          <w:szCs w:val="24"/>
        </w:rPr>
        <w:t xml:space="preserve"> pénzügyi instrumentumok besorolása gyakorlatilag arról dönt, hogy az adott instrumentumot hogyan kell értékelni. Ennek megfelelően mindössze két csoport létezik: az amortizált bekerülési értéken értékelt pénzügyi instrumentumok és a valós értéken értékelt pénzügyi instrumentumok. A besorolás határozza meg tehát, hogy az adott instrumentumot hogyan kell értékelni, melyik csoportba tartozik.</w:t>
      </w:r>
    </w:p>
    <w:p w:rsidR="00524E9A" w:rsidRPr="00AC5D57" w:rsidRDefault="00524E9A" w:rsidP="00FF0C9A">
      <w:pPr>
        <w:autoSpaceDE w:val="0"/>
        <w:autoSpaceDN w:val="0"/>
        <w:adjustRightInd w:val="0"/>
        <w:spacing w:after="120" w:line="360" w:lineRule="auto"/>
        <w:jc w:val="both"/>
        <w:rPr>
          <w:rFonts w:ascii="Times New Roman" w:hAnsi="Times New Roman" w:cs="Times New Roman"/>
          <w:sz w:val="24"/>
          <w:szCs w:val="24"/>
        </w:rPr>
      </w:pPr>
    </w:p>
    <w:p w:rsidR="00FF0C9A" w:rsidRPr="00AC5D57" w:rsidRDefault="00FF0C9A" w:rsidP="00FF0C9A">
      <w:pPr>
        <w:pStyle w:val="Cmsor3"/>
      </w:pPr>
      <w:bookmarkStart w:id="6" w:name="_Toc434181022"/>
      <w:bookmarkStart w:id="7" w:name="_Toc434689794"/>
      <w:r w:rsidRPr="00AC5D57">
        <w:rPr>
          <w:szCs w:val="24"/>
        </w:rPr>
        <w:t>Pénzügyi</w:t>
      </w:r>
      <w:r w:rsidRPr="00AC5D57">
        <w:t xml:space="preserve"> eszközök</w:t>
      </w:r>
      <w:bookmarkEnd w:id="6"/>
      <w:bookmarkEnd w:id="7"/>
    </w:p>
    <w:p w:rsidR="00524E9A" w:rsidRDefault="00524E9A" w:rsidP="00524E9A">
      <w:pPr>
        <w:autoSpaceDE w:val="0"/>
        <w:autoSpaceDN w:val="0"/>
        <w:adjustRightInd w:val="0"/>
        <w:spacing w:after="0" w:line="24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Egy pénzügyi eszköz besorolásáról alapvetően a következő két tényező dönt:</w:t>
      </w:r>
    </w:p>
    <w:p w:rsidR="00FF0C9A" w:rsidRPr="00524E9A" w:rsidRDefault="00FF0C9A" w:rsidP="00524E9A">
      <w:pPr>
        <w:pStyle w:val="Listaszerbekezds"/>
        <w:numPr>
          <w:ilvl w:val="0"/>
          <w:numId w:val="1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pénzügyi eszköz szerződéses </w:t>
      </w:r>
      <w:r w:rsidRPr="003835A2">
        <w:rPr>
          <w:rFonts w:ascii="Times New Roman" w:hAnsi="Times New Roman" w:cs="Times New Roman"/>
          <w:b/>
          <w:sz w:val="24"/>
          <w:szCs w:val="24"/>
        </w:rPr>
        <w:t>cash flow karakterisztikája</w:t>
      </w:r>
      <w:r w:rsidR="00524E9A">
        <w:rPr>
          <w:rFonts w:ascii="Times New Roman" w:hAnsi="Times New Roman" w:cs="Times New Roman"/>
          <w:sz w:val="24"/>
          <w:szCs w:val="24"/>
        </w:rPr>
        <w:t xml:space="preserve"> és</w:t>
      </w:r>
    </w:p>
    <w:p w:rsidR="00FF0C9A" w:rsidRPr="00087C8E" w:rsidRDefault="00FF0C9A" w:rsidP="00174EBB">
      <w:pPr>
        <w:pStyle w:val="Listaszerbekezds"/>
        <w:numPr>
          <w:ilvl w:val="0"/>
          <w:numId w:val="18"/>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gazdálkodó egység </w:t>
      </w:r>
      <w:r w:rsidRPr="003835A2">
        <w:rPr>
          <w:rFonts w:ascii="Times New Roman" w:hAnsi="Times New Roman" w:cs="Times New Roman"/>
          <w:b/>
          <w:sz w:val="24"/>
          <w:szCs w:val="24"/>
        </w:rPr>
        <w:t>üzleti modellje</w:t>
      </w:r>
      <w:r w:rsidRPr="00AC5D57">
        <w:rPr>
          <w:rFonts w:ascii="Times New Roman" w:hAnsi="Times New Roman" w:cs="Times New Roman"/>
          <w:sz w:val="24"/>
          <w:szCs w:val="24"/>
        </w:rPr>
        <w:t xml:space="preserve"> a pénzügyi eszközök „menedzselésére” </w:t>
      </w:r>
      <w:r w:rsidRPr="00087C8E">
        <w:rPr>
          <w:rFonts w:ascii="Times New Roman" w:hAnsi="Times New Roman" w:cs="Times New Roman"/>
          <w:sz w:val="24"/>
          <w:szCs w:val="24"/>
        </w:rPr>
        <w:t>vonatkozóan.</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3835A2">
        <w:rPr>
          <w:rFonts w:ascii="Times New Roman" w:hAnsi="Times New Roman" w:cs="Times New Roman"/>
          <w:b/>
          <w:sz w:val="24"/>
          <w:szCs w:val="24"/>
        </w:rPr>
        <w:t>Alapesetben</w:t>
      </w:r>
      <w:r w:rsidRPr="00087C8E">
        <w:rPr>
          <w:rFonts w:ascii="Times New Roman" w:hAnsi="Times New Roman" w:cs="Times New Roman"/>
          <w:sz w:val="24"/>
          <w:szCs w:val="24"/>
        </w:rPr>
        <w:t xml:space="preserve"> a pénzügyi eszközöket </w:t>
      </w:r>
      <w:r w:rsidRPr="00087C8E">
        <w:rPr>
          <w:rFonts w:ascii="Times New Roman" w:hAnsi="Times New Roman" w:cs="Times New Roman"/>
          <w:b/>
          <w:sz w:val="24"/>
          <w:szCs w:val="24"/>
        </w:rPr>
        <w:t>valós értéken</w:t>
      </w:r>
      <w:r w:rsidRPr="00087C8E">
        <w:rPr>
          <w:rFonts w:ascii="Times New Roman" w:hAnsi="Times New Roman" w:cs="Times New Roman"/>
          <w:sz w:val="24"/>
          <w:szCs w:val="24"/>
        </w:rPr>
        <w:t xml:space="preserve"> kell értékelni az eredménnyel szemben (FVTPL).</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Ellenben </w:t>
      </w:r>
      <w:r w:rsidRPr="00087C8E">
        <w:rPr>
          <w:rFonts w:ascii="Times New Roman" w:hAnsi="Times New Roman" w:cs="Times New Roman"/>
          <w:b/>
          <w:sz w:val="24"/>
          <w:szCs w:val="24"/>
        </w:rPr>
        <w:t>amortizált bekerülési értéken / valós értéken az egyéb átfogó eredménnyel szemben (FVTOCI)</w:t>
      </w:r>
      <w:r w:rsidRPr="00087C8E">
        <w:rPr>
          <w:rFonts w:ascii="Times New Roman" w:hAnsi="Times New Roman" w:cs="Times New Roman"/>
          <w:sz w:val="24"/>
          <w:szCs w:val="24"/>
        </w:rPr>
        <w:t xml:space="preserve"> kell értékelni egy pénzügyi eszközt, amennyiben:</w:t>
      </w:r>
    </w:p>
    <w:p w:rsidR="00FF0C9A" w:rsidRPr="00524E9A" w:rsidRDefault="00FF0C9A" w:rsidP="00524E9A">
      <w:pPr>
        <w:pStyle w:val="Listaszerbekezds"/>
        <w:numPr>
          <w:ilvl w:val="0"/>
          <w:numId w:val="1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a szerződés szerint a pénzügyi eszköz olyan, meghatározott időpontban esedékes cash flow-kat generál, amelyek kizárólag tőketörlesztéshez és kamatfizetéshez kapcsolódnak</w:t>
      </w:r>
      <w:r w:rsidR="00524E9A">
        <w:rPr>
          <w:rFonts w:ascii="Times New Roman" w:hAnsi="Times New Roman" w:cs="Times New Roman"/>
          <w:sz w:val="24"/>
          <w:szCs w:val="24"/>
        </w:rPr>
        <w:t>, és</w:t>
      </w:r>
    </w:p>
    <w:p w:rsidR="00FF0C9A" w:rsidRPr="00087C8E" w:rsidRDefault="00FF0C9A" w:rsidP="00174EBB">
      <w:pPr>
        <w:pStyle w:val="Listaszerbekezds"/>
        <w:numPr>
          <w:ilvl w:val="0"/>
          <w:numId w:val="17"/>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a gazdálkodó egység egy olyan üzleti modell alapján tartja, aminek célja a szerződéses cash flow-k beszedése / a szerződéses cash flow-k beszedése és a pénzügyi eszközök értékesítése.</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 származékos ügyletek és a tőkebefektetések természetüknél fogva nem teljesíthetik az előbb említett „cash flow feltételt”, így </w:t>
      </w:r>
      <w:r w:rsidRPr="00087C8E">
        <w:rPr>
          <w:rFonts w:ascii="Times New Roman" w:hAnsi="Times New Roman" w:cs="Times New Roman"/>
          <w:b/>
          <w:sz w:val="24"/>
          <w:szCs w:val="24"/>
        </w:rPr>
        <w:t>kizárólag a hitelviszonyt megtestesítő befektetések</w:t>
      </w:r>
      <w:r w:rsidRPr="00087C8E">
        <w:rPr>
          <w:rFonts w:ascii="Times New Roman" w:hAnsi="Times New Roman" w:cs="Times New Roman"/>
          <w:sz w:val="24"/>
          <w:szCs w:val="24"/>
        </w:rPr>
        <w:t xml:space="preserve"> kerülhetnek az amortizált bekerülési értéken vagy egyéb átfogó eredménnyel szemben valós értéken értékelt pénzügyi eszközök csoportjába. (Ez azt is jelenti, hogy a származékos ügyletek és a tőkebefektetések csak valós értéken értékelhetők.)</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Ez alól csak azok a nem kereskedési célú tőkebefektetések képeznek kivételt, amelyeknél a gazdálkodó egység az egyéb átfogó eredménnyel szembeni értékelést választotta. </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Ha egy pénzügyi eszköz értéke negatívvá válik, akkor pénzügyi kötelezettségnek minősül, kötelezettségként kell besorolni és értékelni a továbbiakban.</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Alapvetően a pénzügyi eszközöket tehát amortizált bekerülési értéken vagy az egyéb </w:t>
      </w:r>
      <w:proofErr w:type="gramStart"/>
      <w:r w:rsidRPr="00087C8E">
        <w:rPr>
          <w:rFonts w:ascii="Times New Roman" w:hAnsi="Times New Roman" w:cs="Times New Roman"/>
          <w:sz w:val="24"/>
          <w:szCs w:val="24"/>
        </w:rPr>
        <w:t>átfogó</w:t>
      </w:r>
      <w:proofErr w:type="gramEnd"/>
      <w:r w:rsidRPr="00087C8E">
        <w:rPr>
          <w:rFonts w:ascii="Times New Roman" w:hAnsi="Times New Roman" w:cs="Times New Roman"/>
          <w:sz w:val="24"/>
          <w:szCs w:val="24"/>
        </w:rPr>
        <w:t xml:space="preserve"> eredménnyel szemben valós értéken akkor lehet értékelni, ha bizonyos feltételek együttesen teljesülnek. Ezen feltételek megállapításához szükség van az üzleti modell és a cash flow-k jellemzőinek vizsgálatára.</w:t>
      </w:r>
    </w:p>
    <w:p w:rsidR="00FF0C9A" w:rsidRPr="00087C8E"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087C8E">
        <w:rPr>
          <w:rFonts w:ascii="Times New Roman" w:hAnsi="Times New Roman" w:cs="Times New Roman"/>
          <w:b/>
          <w:sz w:val="24"/>
          <w:szCs w:val="24"/>
        </w:rPr>
        <w:t>Cash flow-k jellemzőinek vizsgálata</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 vizsgálat tárgya az, hogy a pénzügyi eszközből származó cash flow-k </w:t>
      </w:r>
      <w:r w:rsidRPr="003835A2">
        <w:rPr>
          <w:rFonts w:ascii="Times New Roman" w:hAnsi="Times New Roman" w:cs="Times New Roman"/>
          <w:b/>
          <w:sz w:val="24"/>
          <w:szCs w:val="24"/>
        </w:rPr>
        <w:t>kizárólag tőketörlesztést és kamatfizetést</w:t>
      </w:r>
      <w:r w:rsidRPr="00087C8E">
        <w:rPr>
          <w:rFonts w:ascii="Times New Roman" w:hAnsi="Times New Roman" w:cs="Times New Roman"/>
          <w:sz w:val="24"/>
          <w:szCs w:val="24"/>
        </w:rPr>
        <w:t xml:space="preserve"> tartalmaznak-e.</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Tőketörlesztés alatt az IFRS 9 standard a pénzügyi eszköz kezdeti valós értékének valamilyen ütemezésben való visszatérülését érti.</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 kamatfizetés fogalma már kicsit bonyolultabb: a pénz </w:t>
      </w:r>
      <w:proofErr w:type="gramStart"/>
      <w:r w:rsidRPr="00087C8E">
        <w:rPr>
          <w:rFonts w:ascii="Times New Roman" w:hAnsi="Times New Roman" w:cs="Times New Roman"/>
          <w:sz w:val="24"/>
          <w:szCs w:val="24"/>
        </w:rPr>
        <w:t>időértékét</w:t>
      </w:r>
      <w:r w:rsidRPr="00087C8E">
        <w:rPr>
          <w:rStyle w:val="Lbjegyzet-hivatkozs"/>
          <w:rFonts w:ascii="Times New Roman" w:hAnsi="Times New Roman" w:cs="Times New Roman"/>
          <w:sz w:val="24"/>
          <w:szCs w:val="24"/>
        </w:rPr>
        <w:footnoteReference w:id="2"/>
      </w:r>
      <w:r w:rsidRPr="00087C8E">
        <w:rPr>
          <w:rFonts w:ascii="Times New Roman" w:hAnsi="Times New Roman" w:cs="Times New Roman"/>
          <w:sz w:val="24"/>
          <w:szCs w:val="24"/>
        </w:rPr>
        <w:t>,</w:t>
      </w:r>
      <w:proofErr w:type="gramEnd"/>
      <w:r w:rsidRPr="00087C8E">
        <w:rPr>
          <w:rFonts w:ascii="Times New Roman" w:hAnsi="Times New Roman" w:cs="Times New Roman"/>
          <w:sz w:val="24"/>
          <w:szCs w:val="24"/>
        </w:rPr>
        <w:t xml:space="preserve"> valamint a hitelezési kockázatot ellentételező, fennmaradó tőkeösszegre és egy adott időszakra vonatkozó kifizetéseket kell érteni alatta a standard szerint. (Előfordulhat, hogy a pénz időértéke </w:t>
      </w:r>
      <w:proofErr w:type="gramStart"/>
      <w:r w:rsidRPr="00087C8E">
        <w:rPr>
          <w:rFonts w:ascii="Times New Roman" w:hAnsi="Times New Roman" w:cs="Times New Roman"/>
          <w:sz w:val="24"/>
          <w:szCs w:val="24"/>
        </w:rPr>
        <w:t>módosul</w:t>
      </w:r>
      <w:r w:rsidRPr="00087C8E">
        <w:rPr>
          <w:rStyle w:val="Lbjegyzet-hivatkozs"/>
          <w:rFonts w:ascii="Times New Roman" w:hAnsi="Times New Roman" w:cs="Times New Roman"/>
          <w:sz w:val="24"/>
          <w:szCs w:val="24"/>
        </w:rPr>
        <w:footnoteReference w:id="3"/>
      </w:r>
      <w:r w:rsidRPr="00087C8E">
        <w:rPr>
          <w:rFonts w:ascii="Times New Roman" w:hAnsi="Times New Roman" w:cs="Times New Roman"/>
          <w:sz w:val="24"/>
          <w:szCs w:val="24"/>
        </w:rPr>
        <w:t>.</w:t>
      </w:r>
      <w:proofErr w:type="gramEnd"/>
      <w:r w:rsidRPr="00087C8E">
        <w:rPr>
          <w:rFonts w:ascii="Times New Roman" w:hAnsi="Times New Roman" w:cs="Times New Roman"/>
          <w:sz w:val="24"/>
          <w:szCs w:val="24"/>
        </w:rPr>
        <w:t>) A kamat magában foglalhat még alapvető kölcsönzői kockázatokat és költségeket, illetve felszámolt haszonkulcsot is.</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adott pénzügyi eszköz cash flow-it mindig abban a pénznemben kell vizsgálni, amelyben az denominálva van.</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Több tényező is módosíthatja egy pénzügyi eszköz szerződéses cash flow-ját. Ilyenkor meg kell vizsgálni, hogy az esetleges változások milyen hatással lehetnek az említett feltételek teljesülésére.</w:t>
      </w:r>
    </w:p>
    <w:p w:rsidR="00FF0C9A"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Figyelmen kívül kell hagyni az olyan szerződéses kikötéseket, amelyek rendkívül ritkán, szokatlan módon és nagyon valószínűtlen esetekben következnek csak be.</w:t>
      </w:r>
    </w:p>
    <w:p w:rsidR="00FF0C9A" w:rsidRPr="00087C8E"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087C8E">
        <w:rPr>
          <w:rFonts w:ascii="Times New Roman" w:hAnsi="Times New Roman" w:cs="Times New Roman"/>
          <w:b/>
          <w:sz w:val="24"/>
          <w:szCs w:val="24"/>
        </w:rPr>
        <w:t>Üzleti modell vizsgálata</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üzleti modell vizsgálat során azt kell eldönteni, hogy a gazdálkodó egység milyen üzleti célból tartja pénzügyi eszközeit. Ez az üzleti cél alapvetően kétféle lehet:</w:t>
      </w:r>
    </w:p>
    <w:p w:rsidR="00FF0C9A" w:rsidRPr="00087C8E" w:rsidRDefault="00FF0C9A" w:rsidP="00174EBB">
      <w:pPr>
        <w:pStyle w:val="Listaszerbekezds"/>
        <w:numPr>
          <w:ilvl w:val="0"/>
          <w:numId w:val="19"/>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 xml:space="preserve">szerződéses cash flow-k (hosszabb távú) realizálása (eszköz </w:t>
      </w:r>
      <w:r w:rsidRPr="003835A2">
        <w:rPr>
          <w:rFonts w:ascii="Times New Roman" w:hAnsi="Times New Roman" w:cs="Times New Roman"/>
          <w:b/>
          <w:sz w:val="24"/>
          <w:szCs w:val="24"/>
        </w:rPr>
        <w:t>tartása</w:t>
      </w:r>
      <w:r w:rsidRPr="00087C8E">
        <w:rPr>
          <w:rFonts w:ascii="Times New Roman" w:hAnsi="Times New Roman" w:cs="Times New Roman"/>
          <w:sz w:val="24"/>
          <w:szCs w:val="24"/>
        </w:rPr>
        <w:t>)</w:t>
      </w:r>
    </w:p>
    <w:p w:rsidR="00FF0C9A" w:rsidRPr="00087C8E" w:rsidRDefault="00FF0C9A" w:rsidP="00174EBB">
      <w:pPr>
        <w:pStyle w:val="Listaszerbekezds"/>
        <w:numPr>
          <w:ilvl w:val="0"/>
          <w:numId w:val="19"/>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 xml:space="preserve">az eszköz valós értékének változásából eredő (rövid távú) nyereség realizálása (általában eszköz </w:t>
      </w:r>
      <w:r w:rsidRPr="003835A2">
        <w:rPr>
          <w:rFonts w:ascii="Times New Roman" w:hAnsi="Times New Roman" w:cs="Times New Roman"/>
          <w:b/>
          <w:sz w:val="24"/>
          <w:szCs w:val="24"/>
        </w:rPr>
        <w:t>eladása</w:t>
      </w:r>
      <w:r w:rsidRPr="00087C8E">
        <w:rPr>
          <w:rFonts w:ascii="Times New Roman" w:hAnsi="Times New Roman" w:cs="Times New Roman"/>
          <w:sz w:val="24"/>
          <w:szCs w:val="24"/>
        </w:rPr>
        <w:t>).</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Az üzleti modell kapcsán a gazdálkodó egység politikáját nem egyedi instrumentumonként, hanem ennél magasabb, </w:t>
      </w:r>
      <w:proofErr w:type="spellStart"/>
      <w:r w:rsidRPr="00087C8E">
        <w:rPr>
          <w:rFonts w:ascii="Times New Roman" w:hAnsi="Times New Roman" w:cs="Times New Roman"/>
          <w:sz w:val="24"/>
          <w:szCs w:val="24"/>
        </w:rPr>
        <w:t>aggregált</w:t>
      </w:r>
      <w:proofErr w:type="spellEnd"/>
      <w:r w:rsidRPr="00087C8E">
        <w:rPr>
          <w:rFonts w:ascii="Times New Roman" w:hAnsi="Times New Roman" w:cs="Times New Roman"/>
          <w:sz w:val="24"/>
          <w:szCs w:val="24"/>
        </w:rPr>
        <w:t xml:space="preserve"> szinten, pénzügyi eszközök nagyobb csoportjára kiterjedően kell elemezni. Mindig meg kell keresni a „releváns szintet”. Könnyen előfordulhat például, hogy egy gazdálkodó egység több üzletággal rendelkezik, üzletáganként különböző üzleti célokkal: ilyenkor több üzleti modellje lesz, és üzletági szinten kell vizsgálódni. Releváns szint lehet a gazdálkodó egység fölötti, például vállalatcsoporti szint is.</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 gazdálkodó egységnek az üzleti modell megállapítása során figyelembe kell vennie </w:t>
      </w:r>
      <w:r w:rsidRPr="003835A2">
        <w:rPr>
          <w:rFonts w:ascii="Times New Roman" w:hAnsi="Times New Roman" w:cs="Times New Roman"/>
          <w:b/>
          <w:sz w:val="24"/>
          <w:szCs w:val="24"/>
        </w:rPr>
        <w:t>minden</w:t>
      </w:r>
      <w:r w:rsidRPr="00087C8E">
        <w:rPr>
          <w:rFonts w:ascii="Times New Roman" w:hAnsi="Times New Roman" w:cs="Times New Roman"/>
          <w:sz w:val="24"/>
          <w:szCs w:val="24"/>
        </w:rPr>
        <w:t xml:space="preserve"> rendelkezésére álló releváns információt, tényezőt az értékelés időpontjában, és a nem várt, valószínűtlen szcenáriókat (például a legrosszabb esetet) ki kell zárnia a kalkulációkból. Azt kell meghatároznia, hogy ha minden a várakozásainak megfelelően alakul a következőkben, akkor mit tervez a pénzügyi eszközeivel, milyen üzleti szándékkal tartja majd őket.</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Ha valamilyen ok miatt a realizált cash flow-k különbözőek a gazdálkodó egység értékelésnapi várakozásaitól, akkor ez NEM okoz:</w:t>
      </w:r>
    </w:p>
    <w:p w:rsidR="00FF0C9A" w:rsidRPr="00087C8E" w:rsidRDefault="00FF0C9A" w:rsidP="00174EBB">
      <w:pPr>
        <w:pStyle w:val="Listaszerbekezds"/>
        <w:numPr>
          <w:ilvl w:val="0"/>
          <w:numId w:val="21"/>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előző időszaki hibát a pénzügyi kimutatásokban</w:t>
      </w:r>
    </w:p>
    <w:p w:rsidR="00FF0C9A" w:rsidRPr="00087C8E" w:rsidRDefault="00FF0C9A" w:rsidP="00174EBB">
      <w:pPr>
        <w:pStyle w:val="Listaszerbekezds"/>
        <w:numPr>
          <w:ilvl w:val="0"/>
          <w:numId w:val="21"/>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változást az adott üzleti modellben tartott megmaradt pénzügyi eszközök besorolásában.</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üzleti modell meghatározása a menedzsment feladata a gazdálkodó egységnél.</w:t>
      </w:r>
    </w:p>
    <w:p w:rsidR="00FF0C9A" w:rsidRPr="00087C8E" w:rsidRDefault="00FF0C9A" w:rsidP="00FF0C9A">
      <w:pPr>
        <w:rPr>
          <w:rFonts w:ascii="Times New Roman" w:hAnsi="Times New Roman" w:cs="Times New Roman"/>
          <w:sz w:val="24"/>
          <w:szCs w:val="24"/>
        </w:rPr>
      </w:pPr>
      <w:r w:rsidRPr="00087C8E">
        <w:rPr>
          <w:rFonts w:ascii="Times New Roman" w:hAnsi="Times New Roman" w:cs="Times New Roman"/>
          <w:sz w:val="24"/>
          <w:szCs w:val="24"/>
        </w:rPr>
        <w:br w:type="page"/>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 besorolás szempontjából három üzleti modellt kell megkülönböztetni</w:t>
      </w:r>
      <w:r>
        <w:rPr>
          <w:rFonts w:ascii="Times New Roman" w:hAnsi="Times New Roman" w:cs="Times New Roman"/>
          <w:sz w:val="24"/>
          <w:szCs w:val="24"/>
        </w:rPr>
        <w:t xml:space="preserve"> (1.</w:t>
      </w:r>
      <w:r w:rsidR="00524E9A">
        <w:rPr>
          <w:rFonts w:ascii="Times New Roman" w:hAnsi="Times New Roman" w:cs="Times New Roman"/>
          <w:sz w:val="24"/>
          <w:szCs w:val="24"/>
        </w:rPr>
        <w:t xml:space="preserve"> </w:t>
      </w:r>
      <w:r>
        <w:rPr>
          <w:rFonts w:ascii="Times New Roman" w:hAnsi="Times New Roman" w:cs="Times New Roman"/>
          <w:sz w:val="24"/>
          <w:szCs w:val="24"/>
        </w:rPr>
        <w:t>táblázat):</w:t>
      </w:r>
    </w:p>
    <w:tbl>
      <w:tblPr>
        <w:tblW w:w="8931" w:type="dxa"/>
        <w:tblInd w:w="108" w:type="dxa"/>
        <w:tblLook w:val="04A0"/>
      </w:tblPr>
      <w:tblGrid>
        <w:gridCol w:w="2127"/>
        <w:gridCol w:w="4536"/>
        <w:gridCol w:w="2268"/>
      </w:tblGrid>
      <w:tr w:rsidR="00FF0C9A" w:rsidRPr="00087C8E" w:rsidTr="00FF0C9A">
        <w:trPr>
          <w:trHeight w:val="467"/>
        </w:trPr>
        <w:tc>
          <w:tcPr>
            <w:tcW w:w="2127" w:type="dxa"/>
          </w:tcPr>
          <w:p w:rsidR="00FF0C9A" w:rsidRPr="00087C8E"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087C8E">
              <w:rPr>
                <w:rFonts w:ascii="Times New Roman" w:hAnsi="Times New Roman" w:cs="Times New Roman"/>
                <w:sz w:val="24"/>
                <w:szCs w:val="24"/>
              </w:rPr>
              <w:t>üzleti modell</w:t>
            </w:r>
          </w:p>
        </w:tc>
        <w:tc>
          <w:tcPr>
            <w:tcW w:w="4536" w:type="dxa"/>
          </w:tcPr>
          <w:p w:rsidR="00FF0C9A" w:rsidRPr="00087C8E"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087C8E">
              <w:rPr>
                <w:rFonts w:ascii="Times New Roman" w:hAnsi="Times New Roman" w:cs="Times New Roman"/>
                <w:sz w:val="24"/>
                <w:szCs w:val="24"/>
              </w:rPr>
              <w:t>jellemvonások</w:t>
            </w:r>
          </w:p>
        </w:tc>
        <w:tc>
          <w:tcPr>
            <w:tcW w:w="2268" w:type="dxa"/>
          </w:tcPr>
          <w:p w:rsidR="00FF0C9A" w:rsidRPr="00087C8E"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087C8E">
              <w:rPr>
                <w:rFonts w:ascii="Times New Roman" w:hAnsi="Times New Roman" w:cs="Times New Roman"/>
                <w:sz w:val="24"/>
                <w:szCs w:val="24"/>
              </w:rPr>
              <w:t>értékelési kategória</w:t>
            </w:r>
          </w:p>
        </w:tc>
      </w:tr>
      <w:tr w:rsidR="00FF0C9A" w:rsidRPr="00087C8E" w:rsidTr="00FF0C9A">
        <w:tc>
          <w:tcPr>
            <w:tcW w:w="2127" w:type="dxa"/>
            <w:vAlign w:val="center"/>
          </w:tcPr>
          <w:p w:rsidR="00FF0C9A" w:rsidRPr="00087C8E" w:rsidRDefault="00FF0C9A" w:rsidP="00FF0C9A">
            <w:pPr>
              <w:jc w:val="center"/>
              <w:rPr>
                <w:rFonts w:ascii="Times New Roman" w:hAnsi="Times New Roman" w:cs="Times New Roman"/>
              </w:rPr>
            </w:pPr>
            <w:r w:rsidRPr="00087C8E">
              <w:rPr>
                <w:rFonts w:ascii="Times New Roman" w:hAnsi="Times New Roman" w:cs="Times New Roman"/>
              </w:rPr>
              <w:t>„csak tartás”</w:t>
            </w:r>
          </w:p>
        </w:tc>
        <w:tc>
          <w:tcPr>
            <w:tcW w:w="4536" w:type="dxa"/>
            <w:vAlign w:val="center"/>
          </w:tcPr>
          <w:p w:rsidR="00FF0C9A" w:rsidRPr="00087C8E" w:rsidRDefault="00FF0C9A" w:rsidP="00174EBB">
            <w:pPr>
              <w:pStyle w:val="Listaszerbekezds"/>
              <w:numPr>
                <w:ilvl w:val="0"/>
                <w:numId w:val="20"/>
              </w:num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eszközöket a cash flow-ikért tartják</w:t>
            </w:r>
            <w:r w:rsidRPr="00087C8E">
              <w:rPr>
                <w:rStyle w:val="Lbjegyzet-hivatkozs"/>
                <w:rFonts w:ascii="Times New Roman" w:hAnsi="Times New Roman" w:cs="Times New Roman"/>
                <w:sz w:val="24"/>
                <w:szCs w:val="24"/>
              </w:rPr>
              <w:footnoteReference w:id="4"/>
            </w:r>
          </w:p>
          <w:p w:rsidR="00FF0C9A" w:rsidRPr="00087C8E" w:rsidRDefault="00FF0C9A" w:rsidP="00174EBB">
            <w:pPr>
              <w:pStyle w:val="Listaszerbekezds"/>
              <w:numPr>
                <w:ilvl w:val="0"/>
                <w:numId w:val="20"/>
              </w:num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előfordulhat néhány esetleges eladás</w:t>
            </w:r>
            <w:r w:rsidRPr="00087C8E">
              <w:rPr>
                <w:rStyle w:val="Lbjegyzet-hivatkozs"/>
                <w:rFonts w:ascii="Times New Roman" w:hAnsi="Times New Roman" w:cs="Times New Roman"/>
                <w:sz w:val="24"/>
                <w:szCs w:val="24"/>
              </w:rPr>
              <w:footnoteReference w:id="5"/>
            </w:r>
            <w:r w:rsidRPr="00087C8E">
              <w:rPr>
                <w:rFonts w:ascii="Times New Roman" w:hAnsi="Times New Roman" w:cs="Times New Roman"/>
                <w:sz w:val="24"/>
                <w:szCs w:val="24"/>
              </w:rPr>
              <w:t>, de így is a cash flow-k szedése a fő cél</w:t>
            </w:r>
          </w:p>
        </w:tc>
        <w:tc>
          <w:tcPr>
            <w:tcW w:w="2268" w:type="dxa"/>
            <w:vAlign w:val="center"/>
          </w:tcPr>
          <w:p w:rsidR="00FF0C9A" w:rsidRPr="00087C8E"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087C8E">
              <w:rPr>
                <w:rFonts w:ascii="Times New Roman" w:hAnsi="Times New Roman" w:cs="Times New Roman"/>
                <w:sz w:val="24"/>
                <w:szCs w:val="24"/>
              </w:rPr>
              <w:t>amortizált bekerülési értéken történő*</w:t>
            </w:r>
          </w:p>
        </w:tc>
      </w:tr>
      <w:tr w:rsidR="00FF0C9A" w:rsidRPr="00087C8E" w:rsidTr="00FF0C9A">
        <w:tc>
          <w:tcPr>
            <w:tcW w:w="2127" w:type="dxa"/>
            <w:vAlign w:val="center"/>
          </w:tcPr>
          <w:p w:rsidR="00FF0C9A" w:rsidRPr="00087C8E" w:rsidRDefault="00FF0C9A" w:rsidP="00FF0C9A">
            <w:pPr>
              <w:jc w:val="center"/>
              <w:rPr>
                <w:rFonts w:ascii="Times New Roman" w:hAnsi="Times New Roman" w:cs="Times New Roman"/>
              </w:rPr>
            </w:pPr>
            <w:r w:rsidRPr="00087C8E">
              <w:rPr>
                <w:rFonts w:ascii="Times New Roman" w:hAnsi="Times New Roman" w:cs="Times New Roman"/>
              </w:rPr>
              <w:t>„tartás és eladás”</w:t>
            </w:r>
            <w:r w:rsidRPr="00087C8E">
              <w:rPr>
                <w:rStyle w:val="Lbjegyzet-hivatkozs"/>
                <w:rFonts w:ascii="Times New Roman" w:hAnsi="Times New Roman" w:cs="Times New Roman"/>
              </w:rPr>
              <w:footnoteReference w:id="6"/>
            </w:r>
          </w:p>
        </w:tc>
        <w:tc>
          <w:tcPr>
            <w:tcW w:w="4536" w:type="dxa"/>
            <w:vAlign w:val="center"/>
          </w:tcPr>
          <w:p w:rsidR="00FF0C9A" w:rsidRPr="00087C8E" w:rsidRDefault="00FF0C9A" w:rsidP="00174EBB">
            <w:pPr>
              <w:pStyle w:val="Listaszerbekezds"/>
              <w:numPr>
                <w:ilvl w:val="0"/>
                <w:numId w:val="20"/>
              </w:num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 cash flow-k szedése és az eszközök eladása is cél egyszerre</w:t>
            </w:r>
          </w:p>
          <w:p w:rsidR="00FF0C9A" w:rsidRPr="00087C8E" w:rsidRDefault="00FF0C9A" w:rsidP="00174EBB">
            <w:pPr>
              <w:pStyle w:val="Listaszerbekezds"/>
              <w:numPr>
                <w:ilvl w:val="0"/>
                <w:numId w:val="20"/>
              </w:num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eladások gyakoribbak, nem esetlegesek</w:t>
            </w:r>
          </w:p>
        </w:tc>
        <w:tc>
          <w:tcPr>
            <w:tcW w:w="2268" w:type="dxa"/>
            <w:vAlign w:val="center"/>
          </w:tcPr>
          <w:p w:rsidR="00FF0C9A" w:rsidRPr="00087C8E"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087C8E">
              <w:rPr>
                <w:rFonts w:ascii="Times New Roman" w:hAnsi="Times New Roman" w:cs="Times New Roman"/>
                <w:sz w:val="24"/>
                <w:szCs w:val="24"/>
              </w:rPr>
              <w:t>FVTOCI*</w:t>
            </w:r>
          </w:p>
        </w:tc>
      </w:tr>
      <w:tr w:rsidR="00FF0C9A" w:rsidRPr="00087C8E" w:rsidTr="00FF0C9A">
        <w:tc>
          <w:tcPr>
            <w:tcW w:w="2127" w:type="dxa"/>
            <w:vAlign w:val="center"/>
          </w:tcPr>
          <w:p w:rsidR="00FF0C9A" w:rsidRPr="00087C8E" w:rsidRDefault="00FF0C9A" w:rsidP="00FF0C9A">
            <w:pPr>
              <w:jc w:val="center"/>
              <w:rPr>
                <w:rFonts w:ascii="Times New Roman" w:hAnsi="Times New Roman" w:cs="Times New Roman"/>
              </w:rPr>
            </w:pPr>
            <w:r w:rsidRPr="00087C8E">
              <w:rPr>
                <w:rFonts w:ascii="Times New Roman" w:hAnsi="Times New Roman" w:cs="Times New Roman"/>
              </w:rPr>
              <w:t>„egyéb”</w:t>
            </w:r>
          </w:p>
        </w:tc>
        <w:tc>
          <w:tcPr>
            <w:tcW w:w="4536" w:type="dxa"/>
            <w:vAlign w:val="center"/>
          </w:tcPr>
          <w:p w:rsidR="00FF0C9A" w:rsidRPr="00087C8E" w:rsidRDefault="00FF0C9A" w:rsidP="00174EBB">
            <w:pPr>
              <w:pStyle w:val="Listaszerbekezds"/>
              <w:numPr>
                <w:ilvl w:val="0"/>
                <w:numId w:val="20"/>
              </w:num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előzőektől különböző jellemzők, minden egyéb eset</w:t>
            </w:r>
          </w:p>
        </w:tc>
        <w:tc>
          <w:tcPr>
            <w:tcW w:w="2268" w:type="dxa"/>
            <w:vAlign w:val="center"/>
          </w:tcPr>
          <w:p w:rsidR="00FF0C9A" w:rsidRPr="00087C8E"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087C8E">
              <w:rPr>
                <w:rFonts w:ascii="Times New Roman" w:hAnsi="Times New Roman" w:cs="Times New Roman"/>
                <w:sz w:val="24"/>
                <w:szCs w:val="24"/>
              </w:rPr>
              <w:t>FVTPL**</w:t>
            </w:r>
          </w:p>
        </w:tc>
      </w:tr>
    </w:tbl>
    <w:p w:rsidR="00FF0C9A" w:rsidRPr="00087C8E" w:rsidRDefault="00FF0C9A" w:rsidP="00FF0C9A">
      <w:pPr>
        <w:autoSpaceDE w:val="0"/>
        <w:autoSpaceDN w:val="0"/>
        <w:adjustRightInd w:val="0"/>
        <w:spacing w:before="120" w:after="120" w:line="360" w:lineRule="auto"/>
        <w:rPr>
          <w:rFonts w:ascii="Times New Roman" w:hAnsi="Times New Roman" w:cs="Times New Roman"/>
          <w:sz w:val="20"/>
          <w:szCs w:val="20"/>
        </w:rPr>
      </w:pPr>
      <w:proofErr w:type="gramStart"/>
      <w:r w:rsidRPr="00087C8E">
        <w:rPr>
          <w:rFonts w:ascii="Times New Roman" w:hAnsi="Times New Roman" w:cs="Times New Roman"/>
          <w:sz w:val="20"/>
          <w:szCs w:val="20"/>
        </w:rPr>
        <w:t>forrás</w:t>
      </w:r>
      <w:proofErr w:type="gramEnd"/>
      <w:r w:rsidRPr="00087C8E">
        <w:rPr>
          <w:rFonts w:ascii="Times New Roman" w:hAnsi="Times New Roman" w:cs="Times New Roman"/>
          <w:sz w:val="20"/>
          <w:szCs w:val="20"/>
        </w:rPr>
        <w:t>:http://www.kpmg.com/Global/en/IssuesAndInsights/ArticlesPublications/firstimpressions/Documents/first-impressions-IFRS9.pdf, 5.3.1.</w:t>
      </w:r>
    </w:p>
    <w:p w:rsidR="00FF0C9A" w:rsidRPr="00087C8E" w:rsidRDefault="00524E9A" w:rsidP="00FF0C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FF0C9A" w:rsidRPr="00087C8E">
        <w:rPr>
          <w:rFonts w:ascii="Times New Roman" w:hAnsi="Times New Roman" w:cs="Times New Roman"/>
          <w:sz w:val="24"/>
          <w:szCs w:val="24"/>
        </w:rPr>
        <w:t xml:space="preserve">eljesülnie kell a </w:t>
      </w:r>
      <w:r>
        <w:rPr>
          <w:rFonts w:ascii="Times New Roman" w:hAnsi="Times New Roman" w:cs="Times New Roman"/>
          <w:sz w:val="24"/>
          <w:szCs w:val="24"/>
        </w:rPr>
        <w:t>„</w:t>
      </w:r>
      <w:r w:rsidR="00FF0C9A" w:rsidRPr="00087C8E">
        <w:rPr>
          <w:rFonts w:ascii="Times New Roman" w:hAnsi="Times New Roman" w:cs="Times New Roman"/>
          <w:sz w:val="24"/>
          <w:szCs w:val="24"/>
        </w:rPr>
        <w:t>cash flow-k jellemz</w:t>
      </w:r>
      <w:r>
        <w:rPr>
          <w:rFonts w:ascii="Times New Roman" w:hAnsi="Times New Roman" w:cs="Times New Roman"/>
          <w:sz w:val="24"/>
          <w:szCs w:val="24"/>
        </w:rPr>
        <w:t>őinek vizsgálat” tesztjének is. H</w:t>
      </w:r>
      <w:r w:rsidR="00FF0C9A" w:rsidRPr="00087C8E">
        <w:rPr>
          <w:rFonts w:ascii="Times New Roman" w:hAnsi="Times New Roman" w:cs="Times New Roman"/>
          <w:sz w:val="24"/>
          <w:szCs w:val="24"/>
        </w:rPr>
        <w:t>a az nem teljesül, akkor üzleti modelltől függetlenül FVTPL az értékelés módja</w:t>
      </w:r>
      <w:r>
        <w:rPr>
          <w:rFonts w:ascii="Times New Roman" w:hAnsi="Times New Roman" w:cs="Times New Roman"/>
          <w:sz w:val="24"/>
          <w:szCs w:val="24"/>
        </w:rPr>
        <w:t>.</w:t>
      </w:r>
    </w:p>
    <w:p w:rsidR="00FF0C9A" w:rsidRPr="00087C8E" w:rsidRDefault="00524E9A" w:rsidP="00FF0C9A">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**A</w:t>
      </w:r>
      <w:r w:rsidR="00FF0C9A" w:rsidRPr="00087C8E">
        <w:rPr>
          <w:rFonts w:ascii="Times New Roman" w:hAnsi="Times New Roman" w:cs="Times New Roman"/>
          <w:sz w:val="24"/>
          <w:szCs w:val="24"/>
        </w:rPr>
        <w:t xml:space="preserve"> </w:t>
      </w:r>
      <w:r>
        <w:rPr>
          <w:rFonts w:ascii="Times New Roman" w:hAnsi="Times New Roman" w:cs="Times New Roman"/>
          <w:sz w:val="24"/>
          <w:szCs w:val="24"/>
        </w:rPr>
        <w:t>„</w:t>
      </w:r>
      <w:r w:rsidR="00FF0C9A" w:rsidRPr="00087C8E">
        <w:rPr>
          <w:rFonts w:ascii="Times New Roman" w:hAnsi="Times New Roman" w:cs="Times New Roman"/>
          <w:sz w:val="24"/>
          <w:szCs w:val="24"/>
        </w:rPr>
        <w:t>cash flow-k jellemzőinek vizsgálat</w:t>
      </w:r>
      <w:r>
        <w:rPr>
          <w:rFonts w:ascii="Times New Roman" w:hAnsi="Times New Roman" w:cs="Times New Roman"/>
          <w:sz w:val="24"/>
          <w:szCs w:val="24"/>
        </w:rPr>
        <w:t>”</w:t>
      </w:r>
      <w:r w:rsidR="00FF0C9A" w:rsidRPr="00087C8E">
        <w:rPr>
          <w:rFonts w:ascii="Times New Roman" w:hAnsi="Times New Roman" w:cs="Times New Roman"/>
          <w:sz w:val="24"/>
          <w:szCs w:val="24"/>
        </w:rPr>
        <w:t xml:space="preserve"> irreleváns</w:t>
      </w:r>
      <w:r>
        <w:rPr>
          <w:rFonts w:ascii="Times New Roman" w:hAnsi="Times New Roman" w:cs="Times New Roman"/>
          <w:sz w:val="24"/>
          <w:szCs w:val="24"/>
        </w:rPr>
        <w:t>.</w:t>
      </w:r>
    </w:p>
    <w:p w:rsidR="00FF0C9A" w:rsidRPr="00087C8E"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087C8E">
        <w:rPr>
          <w:rFonts w:ascii="Times New Roman" w:hAnsi="Times New Roman" w:cs="Times New Roman"/>
          <w:b/>
          <w:sz w:val="24"/>
          <w:szCs w:val="24"/>
        </w:rPr>
        <w:t>Valós érték opció</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 xml:space="preserve">A valós érték opciónak köszönhetően a gazdálkodó egység </w:t>
      </w:r>
      <w:r w:rsidRPr="003835A2">
        <w:rPr>
          <w:rFonts w:ascii="Times New Roman" w:hAnsi="Times New Roman" w:cs="Times New Roman"/>
          <w:b/>
          <w:sz w:val="24"/>
          <w:szCs w:val="24"/>
        </w:rPr>
        <w:t>értékelhet</w:t>
      </w:r>
      <w:r w:rsidRPr="00087C8E">
        <w:rPr>
          <w:rFonts w:ascii="Times New Roman" w:hAnsi="Times New Roman" w:cs="Times New Roman"/>
          <w:sz w:val="24"/>
          <w:szCs w:val="24"/>
        </w:rPr>
        <w:t xml:space="preserve"> valós értéken az eredménnyel szemben (FVTPL) olyan pénzügyi eszközöket, amelyeket a szabályok szerint amortizált bekerülési értéken vagy az egyéb </w:t>
      </w:r>
      <w:proofErr w:type="gramStart"/>
      <w:r w:rsidRPr="00087C8E">
        <w:rPr>
          <w:rFonts w:ascii="Times New Roman" w:hAnsi="Times New Roman" w:cs="Times New Roman"/>
          <w:sz w:val="24"/>
          <w:szCs w:val="24"/>
        </w:rPr>
        <w:t>átfogó</w:t>
      </w:r>
      <w:proofErr w:type="gramEnd"/>
      <w:r w:rsidRPr="00087C8E">
        <w:rPr>
          <w:rFonts w:ascii="Times New Roman" w:hAnsi="Times New Roman" w:cs="Times New Roman"/>
          <w:sz w:val="24"/>
          <w:szCs w:val="24"/>
        </w:rPr>
        <w:t xml:space="preserve"> eredménnyel szemben valós értéken  kellene értékelni.</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 valós érték opció alkalmazásának feltételei:</w:t>
      </w:r>
    </w:p>
    <w:p w:rsidR="00FF0C9A" w:rsidRPr="00087C8E" w:rsidRDefault="00FF0C9A" w:rsidP="00174EBB">
      <w:pPr>
        <w:pStyle w:val="Listaszerbekezds"/>
        <w:numPr>
          <w:ilvl w:val="0"/>
          <w:numId w:val="2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 xml:space="preserve">ezzel meg </w:t>
      </w:r>
      <w:proofErr w:type="gramStart"/>
      <w:r w:rsidRPr="00087C8E">
        <w:rPr>
          <w:rFonts w:ascii="Times New Roman" w:hAnsi="Times New Roman" w:cs="Times New Roman"/>
          <w:sz w:val="24"/>
          <w:szCs w:val="24"/>
        </w:rPr>
        <w:t>kell</w:t>
      </w:r>
      <w:proofErr w:type="gramEnd"/>
      <w:r w:rsidRPr="00087C8E">
        <w:rPr>
          <w:rFonts w:ascii="Times New Roman" w:hAnsi="Times New Roman" w:cs="Times New Roman"/>
          <w:sz w:val="24"/>
          <w:szCs w:val="24"/>
        </w:rPr>
        <w:t xml:space="preserve"> szüntetni vagy szignifikánsan le kell csökkenteni valamely értékelési vagy megjelenítési inkonzisztenciát</w:t>
      </w:r>
    </w:p>
    <w:p w:rsidR="00FF0C9A" w:rsidRPr="00087C8E" w:rsidRDefault="00FF0C9A" w:rsidP="00174EBB">
      <w:pPr>
        <w:pStyle w:val="Listaszerbekezds"/>
        <w:numPr>
          <w:ilvl w:val="0"/>
          <w:numId w:val="2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csak a pénzügyi eszköz kezdeti megjelenítésekor lehet alkalmazni</w:t>
      </w:r>
    </w:p>
    <w:p w:rsidR="00FF0C9A" w:rsidRPr="00087C8E" w:rsidRDefault="00FF0C9A" w:rsidP="00174EBB">
      <w:pPr>
        <w:pStyle w:val="Listaszerbekezds"/>
        <w:numPr>
          <w:ilvl w:val="0"/>
          <w:numId w:val="20"/>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087C8E">
        <w:rPr>
          <w:rFonts w:ascii="Times New Roman" w:hAnsi="Times New Roman" w:cs="Times New Roman"/>
          <w:sz w:val="24"/>
          <w:szCs w:val="24"/>
        </w:rPr>
        <w:t>a döntés visszavonhatatlan.</w:t>
      </w:r>
    </w:p>
    <w:p w:rsidR="00FF0C9A" w:rsidRPr="00087C8E"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Az előbb említett inkonzisztencia abból adódhat, hogy a pénzügyi eszközök vagy pénzügyi kötelezettségek értékelése, vagy az ezeken képződő nyereségek és veszteségek megjelenítése eltérő alapokon történik.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087C8E">
        <w:rPr>
          <w:rFonts w:ascii="Times New Roman" w:hAnsi="Times New Roman" w:cs="Times New Roman"/>
          <w:sz w:val="24"/>
          <w:szCs w:val="24"/>
        </w:rPr>
        <w:t>A pénzügyi eszközök IFRS 9 standard szerinti teljes beso</w:t>
      </w:r>
      <w:r w:rsidRPr="00AC5D57">
        <w:rPr>
          <w:rFonts w:ascii="Times New Roman" w:hAnsi="Times New Roman" w:cs="Times New Roman"/>
          <w:sz w:val="24"/>
          <w:szCs w:val="24"/>
        </w:rPr>
        <w:t xml:space="preserve">rolását </w:t>
      </w:r>
      <w:r>
        <w:rPr>
          <w:rFonts w:ascii="Times New Roman" w:hAnsi="Times New Roman" w:cs="Times New Roman"/>
          <w:sz w:val="24"/>
          <w:szCs w:val="24"/>
        </w:rPr>
        <w:t xml:space="preserve">a következő ábra </w:t>
      </w:r>
      <w:r w:rsidR="00524E9A">
        <w:rPr>
          <w:rFonts w:ascii="Times New Roman" w:hAnsi="Times New Roman" w:cs="Times New Roman"/>
          <w:sz w:val="24"/>
          <w:szCs w:val="24"/>
        </w:rPr>
        <w:t>foglalja össze (4</w:t>
      </w:r>
      <w:r>
        <w:rPr>
          <w:rFonts w:ascii="Times New Roman" w:hAnsi="Times New Roman" w:cs="Times New Roman"/>
          <w:sz w:val="24"/>
          <w:szCs w:val="24"/>
        </w:rPr>
        <w:t>.</w:t>
      </w:r>
      <w:r w:rsidR="00524E9A">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noProof/>
          <w:sz w:val="24"/>
          <w:szCs w:val="24"/>
          <w:lang w:eastAsia="hu-HU"/>
        </w:rPr>
        <w:drawing>
          <wp:inline distT="0" distB="0" distL="0" distR="0">
            <wp:extent cx="6115050" cy="3771900"/>
            <wp:effectExtent l="0" t="0" r="0" b="0"/>
            <wp:docPr id="8" name="Objektum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5184576"/>
                      <a:chOff x="107504" y="404664"/>
                      <a:chExt cx="8424936" cy="5184576"/>
                    </a:xfrm>
                  </a:grpSpPr>
                  <a:sp>
                    <a:nvSpPr>
                      <a:cNvPr id="5" name="Lekerekített téglalap 4"/>
                      <a:cNvSpPr/>
                    </a:nvSpPr>
                    <a:spPr>
                      <a:xfrm>
                        <a:off x="179512" y="404664"/>
                        <a:ext cx="3240360" cy="504056"/>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Hitelviszonyt megtestesítő befektetések</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Lekerekített téglalap 8"/>
                      <a:cNvSpPr/>
                    </a:nvSpPr>
                    <a:spPr>
                      <a:xfrm>
                        <a:off x="3851920" y="404664"/>
                        <a:ext cx="2016224" cy="504056"/>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Származékos ügyletek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Lekerekített téglalap 9"/>
                      <a:cNvSpPr/>
                    </a:nvSpPr>
                    <a:spPr>
                      <a:xfrm>
                        <a:off x="6228184" y="404664"/>
                        <a:ext cx="2304256" cy="504056"/>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Tőkebefektetések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Lekerekített téglalap 10"/>
                      <a:cNvSpPr/>
                    </a:nvSpPr>
                    <a:spPr>
                      <a:xfrm>
                        <a:off x="2771800" y="1484784"/>
                        <a:ext cx="4104456"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Szerződéses cash flow feltétel teljesül?</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Alak 14"/>
                      <a:cNvCxnSpPr>
                        <a:stCxn id="5" idx="2"/>
                      </a:cNvCxnSpPr>
                    </a:nvCxnSpPr>
                    <a:spPr>
                      <a:xfrm rot="16200000" flipH="1">
                        <a:off x="3005826" y="-297414"/>
                        <a:ext cx="288032" cy="27003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 name="Egyenes összekötő 16"/>
                      <a:cNvCxnSpPr/>
                    </a:nvCxnSpPr>
                    <a:spPr>
                      <a:xfrm>
                        <a:off x="4499992" y="1196752"/>
                        <a:ext cx="0" cy="28803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 name="Egyenes összekötő 24"/>
                      <a:cNvCxnSpPr>
                        <a:stCxn id="9" idx="2"/>
                      </a:cNvCxnSpPr>
                    </a:nvCxnSpPr>
                    <a:spPr>
                      <a:xfrm>
                        <a:off x="4860032" y="908720"/>
                        <a:ext cx="0" cy="576064"/>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7" name="Alak 26"/>
                      <a:cNvCxnSpPr>
                        <a:stCxn id="10" idx="2"/>
                      </a:cNvCxnSpPr>
                    </a:nvCxnSpPr>
                    <a:spPr>
                      <a:xfrm rot="5400000">
                        <a:off x="6480212" y="296652"/>
                        <a:ext cx="288032" cy="1512168"/>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 name="Egyenes összekötő 28"/>
                      <a:cNvCxnSpPr/>
                    </a:nvCxnSpPr>
                    <a:spPr>
                      <a:xfrm>
                        <a:off x="5868144" y="1196752"/>
                        <a:ext cx="0" cy="28803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36" name="Lekerekített téglalap 35"/>
                      <a:cNvSpPr/>
                    </a:nvSpPr>
                    <a:spPr>
                      <a:xfrm>
                        <a:off x="5436096" y="2708920"/>
                        <a:ext cx="1800200"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Kereskedési célú?</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Lekerekített téglalap 38"/>
                      <a:cNvSpPr/>
                    </a:nvSpPr>
                    <a:spPr>
                      <a:xfrm>
                        <a:off x="4067944" y="5085184"/>
                        <a:ext cx="2016224" cy="504056"/>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b="1" dirty="0" smtClean="0">
                              <a:solidFill>
                                <a:schemeClr val="tx1"/>
                              </a:solidFill>
                            </a:rPr>
                            <a:t>FVTPL</a:t>
                          </a:r>
                          <a:endParaRPr lang="hu-HU"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Egyenes összekötő 40"/>
                      <a:cNvCxnSpPr/>
                    </a:nvCxnSpPr>
                    <a:spPr>
                      <a:xfrm>
                        <a:off x="4860032" y="1988840"/>
                        <a:ext cx="0" cy="3096344"/>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42" name="Szövegdoboz 41"/>
                      <a:cNvSpPr txBox="1"/>
                    </a:nvSpPr>
                    <a:spPr>
                      <a:xfrm>
                        <a:off x="4860032" y="2132856"/>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cxnSp>
                    <a:nvCxnSpPr>
                      <a:cNvPr id="44" name="Egyenes összekötő nyíllal 43"/>
                      <a:cNvCxnSpPr/>
                    </a:nvCxnSpPr>
                    <a:spPr>
                      <a:xfrm>
                        <a:off x="4860032" y="4941168"/>
                        <a:ext cx="0" cy="144016"/>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Egyenes összekötő 45"/>
                      <a:cNvCxnSpPr/>
                    </a:nvCxnSpPr>
                    <a:spPr>
                      <a:xfrm>
                        <a:off x="5868144" y="1988840"/>
                        <a:ext cx="0" cy="72008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47" name="Szövegdoboz 46"/>
                      <a:cNvSpPr txBox="1"/>
                    </a:nvSpPr>
                    <a:spPr>
                      <a:xfrm>
                        <a:off x="5868144" y="2132856"/>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cxnSp>
                    <a:nvCxnSpPr>
                      <a:cNvPr id="49" name="Egyenes összekötő nyíllal 48"/>
                      <a:cNvCxnSpPr/>
                    </a:nvCxnSpPr>
                    <a:spPr>
                      <a:xfrm>
                        <a:off x="5868144" y="3212976"/>
                        <a:ext cx="0" cy="187220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0" name="Szövegdoboz 49"/>
                      <a:cNvSpPr txBox="1"/>
                    </a:nvSpPr>
                    <a:spPr>
                      <a:xfrm>
                        <a:off x="5868144" y="3356992"/>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Igen</a:t>
                          </a:r>
                          <a:endParaRPr lang="hu-HU" sz="1400" b="1" dirty="0"/>
                        </a:p>
                      </a:txBody>
                      <a:useSpRect/>
                    </a:txSp>
                  </a:sp>
                  <a:cxnSp>
                    <a:nvCxnSpPr>
                      <a:cNvPr id="52" name="Egyenes összekötő nyíllal 51"/>
                      <a:cNvCxnSpPr/>
                    </a:nvCxnSpPr>
                    <a:spPr>
                      <a:xfrm>
                        <a:off x="4499992" y="1988840"/>
                        <a:ext cx="0" cy="309634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Szövegdoboz 52"/>
                      <a:cNvSpPr txBox="1"/>
                    </a:nvSpPr>
                    <a:spPr>
                      <a:xfrm>
                        <a:off x="3995936" y="2132856"/>
                        <a:ext cx="576064"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sp>
                    <a:nvSpPr>
                      <a:cNvPr id="54" name="Lekerekített téglalap 53"/>
                      <a:cNvSpPr/>
                    </a:nvSpPr>
                    <a:spPr>
                      <a:xfrm>
                        <a:off x="6516216" y="3861048"/>
                        <a:ext cx="2016224"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FVTOCI opcióval élt?</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Alak 55"/>
                      <a:cNvCxnSpPr>
                        <a:endCxn id="39" idx="3"/>
                      </a:cNvCxnSpPr>
                    </a:nvCxnSpPr>
                    <a:spPr>
                      <a:xfrm rot="5400000">
                        <a:off x="5922150" y="4527122"/>
                        <a:ext cx="972108" cy="648072"/>
                      </a:xfrm>
                      <a:prstGeom prst="bentConnector2">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1" name="Lekerekített téglalap 60"/>
                      <a:cNvSpPr/>
                    </a:nvSpPr>
                    <a:spPr>
                      <a:xfrm>
                        <a:off x="6948264" y="5085184"/>
                        <a:ext cx="1584176" cy="504056"/>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b="1" dirty="0" smtClean="0">
                              <a:solidFill>
                                <a:schemeClr val="tx1"/>
                              </a:solidFill>
                            </a:rPr>
                            <a:t>FVTOCI</a:t>
                          </a:r>
                          <a:endParaRPr lang="hu-HU"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Egyenes összekötő 62"/>
                      <a:cNvCxnSpPr/>
                    </a:nvCxnSpPr>
                    <a:spPr>
                      <a:xfrm>
                        <a:off x="7020272" y="3212976"/>
                        <a:ext cx="0" cy="64807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5" name="Egyenes összekötő nyíllal 64"/>
                      <a:cNvCxnSpPr/>
                    </a:nvCxnSpPr>
                    <a:spPr>
                      <a:xfrm>
                        <a:off x="7308304" y="4365104"/>
                        <a:ext cx="0" cy="72008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6" name="Szövegdoboz 65"/>
                      <a:cNvSpPr txBox="1"/>
                    </a:nvSpPr>
                    <a:spPr>
                      <a:xfrm>
                        <a:off x="7020272" y="3356992"/>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sp>
                    <a:nvSpPr>
                      <a:cNvPr id="79" name="Szövegdoboz 78"/>
                      <a:cNvSpPr txBox="1"/>
                    </a:nvSpPr>
                    <a:spPr>
                      <a:xfrm>
                        <a:off x="6228184" y="4509120"/>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sp>
                    <a:nvSpPr>
                      <a:cNvPr id="80" name="Szövegdoboz 79"/>
                      <a:cNvSpPr txBox="1"/>
                    </a:nvSpPr>
                    <a:spPr>
                      <a:xfrm>
                        <a:off x="7308304" y="4509120"/>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Igen</a:t>
                          </a:r>
                          <a:endParaRPr lang="hu-HU" sz="1400" b="1" dirty="0"/>
                        </a:p>
                      </a:txBody>
                      <a:useSpRect/>
                    </a:txSp>
                  </a:sp>
                  <a:sp>
                    <a:nvSpPr>
                      <a:cNvPr id="81" name="Lekerekített téglalap 80"/>
                      <a:cNvSpPr/>
                    </a:nvSpPr>
                    <a:spPr>
                      <a:xfrm>
                        <a:off x="179512" y="2708920"/>
                        <a:ext cx="4104456"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Üzleti modell vizsgálat</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3" name="Egyenes összekötő 82"/>
                      <a:cNvCxnSpPr/>
                    </a:nvCxnSpPr>
                    <a:spPr>
                      <a:xfrm>
                        <a:off x="3563888" y="1988840"/>
                        <a:ext cx="0" cy="72008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84" name="Szövegdoboz 83"/>
                      <a:cNvSpPr txBox="1"/>
                    </a:nvSpPr>
                    <a:spPr>
                      <a:xfrm>
                        <a:off x="3104131" y="2132856"/>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Igen</a:t>
                          </a:r>
                          <a:endParaRPr lang="hu-HU" sz="1400" b="1" dirty="0"/>
                        </a:p>
                      </a:txBody>
                      <a:useSpRect/>
                    </a:txSp>
                  </a:sp>
                  <a:sp>
                    <a:nvSpPr>
                      <a:cNvPr id="85" name="Lekerekített téglalap 84"/>
                      <a:cNvSpPr/>
                    </a:nvSpPr>
                    <a:spPr>
                      <a:xfrm>
                        <a:off x="827584" y="3861048"/>
                        <a:ext cx="2448272"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Valós érték opcióval élt?</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Lekerekített téglalap 85"/>
                      <a:cNvSpPr/>
                    </a:nvSpPr>
                    <a:spPr>
                      <a:xfrm>
                        <a:off x="2123728" y="5085184"/>
                        <a:ext cx="1296144" cy="504056"/>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b="1" dirty="0" smtClean="0">
                              <a:solidFill>
                                <a:schemeClr val="tx1"/>
                              </a:solidFill>
                            </a:rPr>
                            <a:t>FVTOCI</a:t>
                          </a:r>
                          <a:endParaRPr lang="hu-HU"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Lekerekített téglalap 86"/>
                      <a:cNvSpPr/>
                    </a:nvSpPr>
                    <a:spPr>
                      <a:xfrm>
                        <a:off x="179512" y="5085184"/>
                        <a:ext cx="1728192" cy="504056"/>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Amortizált bekerülési értéken</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Egyenes összekötő 88"/>
                      <a:cNvCxnSpPr/>
                    </a:nvCxnSpPr>
                    <a:spPr>
                      <a:xfrm>
                        <a:off x="1187624" y="3212976"/>
                        <a:ext cx="0" cy="64807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1" name="Egyenes összekötő nyíllal 90"/>
                      <a:cNvCxnSpPr/>
                    </a:nvCxnSpPr>
                    <a:spPr>
                      <a:xfrm>
                        <a:off x="1187624" y="4365104"/>
                        <a:ext cx="0" cy="72008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3" name="Egyenes összekötő 92"/>
                      <a:cNvCxnSpPr/>
                    </a:nvCxnSpPr>
                    <a:spPr>
                      <a:xfrm>
                        <a:off x="2843808" y="3212976"/>
                        <a:ext cx="0" cy="64807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5" name="Egyenes összekötő nyíllal 94"/>
                      <a:cNvCxnSpPr/>
                    </a:nvCxnSpPr>
                    <a:spPr>
                      <a:xfrm>
                        <a:off x="2843808" y="4365104"/>
                        <a:ext cx="0" cy="72008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6" name="Szövegdoboz 95"/>
                      <a:cNvSpPr txBox="1"/>
                    </a:nvSpPr>
                    <a:spPr>
                      <a:xfrm>
                        <a:off x="107504" y="3356992"/>
                        <a:ext cx="1152128"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a:t>c</a:t>
                          </a:r>
                          <a:r>
                            <a:rPr lang="hu-HU" sz="1400" b="1" dirty="0" smtClean="0"/>
                            <a:t>sak „tartás”</a:t>
                          </a:r>
                          <a:endParaRPr lang="hu-HU" sz="1400" b="1" dirty="0"/>
                        </a:p>
                      </a:txBody>
                      <a:useSpRect/>
                    </a:txSp>
                  </a:sp>
                  <a:sp>
                    <a:nvSpPr>
                      <a:cNvPr id="97" name="Szövegdoboz 96"/>
                      <a:cNvSpPr txBox="1"/>
                    </a:nvSpPr>
                    <a:spPr>
                      <a:xfrm>
                        <a:off x="683568" y="4581128"/>
                        <a:ext cx="576064"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sp>
                    <a:nvSpPr>
                      <a:cNvPr id="98" name="Szövegdoboz 97"/>
                      <a:cNvSpPr txBox="1"/>
                    </a:nvSpPr>
                    <a:spPr>
                      <a:xfrm>
                        <a:off x="1403648" y="3356992"/>
                        <a:ext cx="1584176"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„tartás és eladás”</a:t>
                          </a:r>
                          <a:endParaRPr lang="hu-HU" sz="1400" b="1" dirty="0"/>
                        </a:p>
                      </a:txBody>
                      <a:useSpRect/>
                    </a:txSp>
                  </a:sp>
                  <a:sp>
                    <a:nvSpPr>
                      <a:cNvPr id="99" name="Szövegdoboz 98"/>
                      <a:cNvSpPr txBox="1"/>
                    </a:nvSpPr>
                    <a:spPr>
                      <a:xfrm>
                        <a:off x="2339752" y="4581128"/>
                        <a:ext cx="576064"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Nem</a:t>
                          </a:r>
                          <a:endParaRPr lang="hu-HU" sz="1400" b="1" dirty="0"/>
                        </a:p>
                      </a:txBody>
                      <a:useSpRect/>
                    </a:txSp>
                  </a:sp>
                  <a:cxnSp>
                    <a:nvCxnSpPr>
                      <a:cNvPr id="104" name="Szögletes összekötő 103"/>
                      <a:cNvCxnSpPr>
                        <a:stCxn id="85" idx="3"/>
                        <a:endCxn id="39" idx="1"/>
                      </a:cNvCxnSpPr>
                    </a:nvCxnSpPr>
                    <a:spPr>
                      <a:xfrm>
                        <a:off x="3275856" y="4113076"/>
                        <a:ext cx="792088" cy="1224136"/>
                      </a:xfrm>
                      <a:prstGeom prst="bentConnector3">
                        <a:avLst>
                          <a:gd name="adj1" fmla="val 74487"/>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7" name="Szögletes összekötő 106"/>
                      <a:cNvCxnSpPr/>
                    </a:nvCxnSpPr>
                    <a:spPr>
                      <a:xfrm rot="16200000" flipH="1">
                        <a:off x="3023828" y="3897052"/>
                        <a:ext cx="1872208" cy="504056"/>
                      </a:xfrm>
                      <a:prstGeom prst="bentConnector3">
                        <a:avLst>
                          <a:gd name="adj1" fmla="val 6586"/>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2" name="Szövegdoboz 111"/>
                      <a:cNvSpPr txBox="1"/>
                    </a:nvSpPr>
                    <a:spPr>
                      <a:xfrm>
                        <a:off x="3419872" y="3356992"/>
                        <a:ext cx="864096"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„egyéb”</a:t>
                          </a:r>
                          <a:endParaRPr lang="hu-HU" sz="1400" b="1" dirty="0"/>
                        </a:p>
                      </a:txBody>
                      <a:useSpRect/>
                    </a:txSp>
                  </a:sp>
                  <a:sp>
                    <a:nvSpPr>
                      <a:cNvPr id="117" name="Szövegdoboz 116"/>
                      <a:cNvSpPr txBox="1"/>
                    </a:nvSpPr>
                    <a:spPr>
                      <a:xfrm>
                        <a:off x="3419872" y="4365104"/>
                        <a:ext cx="648072"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Igen</a:t>
                          </a:r>
                          <a:endParaRPr lang="hu-HU" sz="1400" b="1" dirty="0"/>
                        </a:p>
                      </a:txBody>
                      <a:useSpRect/>
                    </a:txSp>
                  </a:sp>
                </lc:lockedCanvas>
              </a:graphicData>
            </a:graphic>
          </wp:inline>
        </w:drawing>
      </w:r>
    </w:p>
    <w:p w:rsidR="00FF0C9A" w:rsidRDefault="00FF0C9A" w:rsidP="00821508">
      <w:pPr>
        <w:autoSpaceDE w:val="0"/>
        <w:autoSpaceDN w:val="0"/>
        <w:adjustRightInd w:val="0"/>
        <w:spacing w:after="0" w:line="360" w:lineRule="auto"/>
        <w:jc w:val="both"/>
        <w:rPr>
          <w:rFonts w:ascii="Times New Roman" w:hAnsi="Times New Roman" w:cs="Times New Roman"/>
          <w:sz w:val="20"/>
          <w:szCs w:val="20"/>
        </w:rPr>
      </w:pPr>
      <w:proofErr w:type="gramStart"/>
      <w:r w:rsidRPr="00C647E5">
        <w:rPr>
          <w:rFonts w:ascii="Times New Roman" w:hAnsi="Times New Roman" w:cs="Times New Roman"/>
          <w:sz w:val="20"/>
          <w:szCs w:val="20"/>
        </w:rPr>
        <w:t>forrás</w:t>
      </w:r>
      <w:proofErr w:type="gramEnd"/>
      <w:r w:rsidRPr="00C647E5">
        <w:rPr>
          <w:rFonts w:ascii="Times New Roman" w:hAnsi="Times New Roman" w:cs="Times New Roman"/>
          <w:sz w:val="20"/>
          <w:szCs w:val="20"/>
        </w:rPr>
        <w:t>:http://www.ey.com/Publication/vwLUAssets/EY-ifrs-developments-issue-86-july2014/$FILE/EY-ifrs-developments-issue-86-july2014.pdf</w:t>
      </w:r>
    </w:p>
    <w:p w:rsidR="00821508" w:rsidRDefault="00821508" w:rsidP="00821508">
      <w:pPr>
        <w:autoSpaceDE w:val="0"/>
        <w:autoSpaceDN w:val="0"/>
        <w:adjustRightInd w:val="0"/>
        <w:spacing w:after="120" w:line="360" w:lineRule="auto"/>
        <w:jc w:val="both"/>
        <w:rPr>
          <w:rFonts w:ascii="Times New Roman" w:hAnsi="Times New Roman" w:cs="Times New Roman"/>
          <w:sz w:val="20"/>
          <w:szCs w:val="20"/>
        </w:rPr>
      </w:pPr>
    </w:p>
    <w:p w:rsidR="00FF0C9A" w:rsidRPr="00C647E5" w:rsidRDefault="00FF0C9A" w:rsidP="00FF0C9A">
      <w:pPr>
        <w:pStyle w:val="Cmsor3"/>
      </w:pPr>
      <w:bookmarkStart w:id="8" w:name="_Toc434181023"/>
      <w:bookmarkStart w:id="9" w:name="_Toc434689795"/>
      <w:r w:rsidRPr="00C647E5">
        <w:t>Pénzügyi kötelezettségek</w:t>
      </w:r>
      <w:bookmarkEnd w:id="8"/>
      <w:bookmarkEnd w:id="9"/>
    </w:p>
    <w:p w:rsidR="00524E9A" w:rsidRDefault="00524E9A" w:rsidP="00524E9A">
      <w:pPr>
        <w:autoSpaceDE w:val="0"/>
        <w:autoSpaceDN w:val="0"/>
        <w:adjustRightInd w:val="0"/>
        <w:spacing w:after="0" w:line="240" w:lineRule="auto"/>
        <w:jc w:val="both"/>
        <w:rPr>
          <w:rFonts w:ascii="Times New Roman" w:hAnsi="Times New Roman" w:cs="Times New Roman"/>
          <w:sz w:val="24"/>
          <w:szCs w:val="24"/>
        </w:rPr>
      </w:pP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A pénzügyi kötelezettségek besorolási szabályai jóval egyszerűbbek, mint a pénzügyi eszközöknél alkalmazott szabályok.</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A pénzügyi kötelezettségeket </w:t>
      </w:r>
      <w:r w:rsidRPr="003835A2">
        <w:rPr>
          <w:rFonts w:ascii="Times New Roman" w:hAnsi="Times New Roman" w:cs="Times New Roman"/>
          <w:b/>
          <w:sz w:val="24"/>
          <w:szCs w:val="24"/>
        </w:rPr>
        <w:t xml:space="preserve">alapesetben </w:t>
      </w:r>
      <w:r w:rsidRPr="00C647E5">
        <w:rPr>
          <w:rFonts w:ascii="Times New Roman" w:hAnsi="Times New Roman" w:cs="Times New Roman"/>
          <w:b/>
          <w:sz w:val="24"/>
          <w:szCs w:val="24"/>
        </w:rPr>
        <w:t>amortizált bekerülési értéken</w:t>
      </w:r>
      <w:r w:rsidRPr="00C647E5">
        <w:rPr>
          <w:rFonts w:ascii="Times New Roman" w:hAnsi="Times New Roman" w:cs="Times New Roman"/>
          <w:sz w:val="24"/>
          <w:szCs w:val="24"/>
        </w:rPr>
        <w:t xml:space="preserve"> kell értékelni.</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A következő táblázat szemlélteti azon </w:t>
      </w:r>
      <w:r w:rsidRPr="003835A2">
        <w:rPr>
          <w:rFonts w:ascii="Times New Roman" w:hAnsi="Times New Roman" w:cs="Times New Roman"/>
          <w:b/>
          <w:sz w:val="24"/>
          <w:szCs w:val="24"/>
        </w:rPr>
        <w:t>kivételes eseteket</w:t>
      </w:r>
      <w:r w:rsidRPr="00C647E5">
        <w:rPr>
          <w:rFonts w:ascii="Times New Roman" w:hAnsi="Times New Roman" w:cs="Times New Roman"/>
          <w:sz w:val="24"/>
          <w:szCs w:val="24"/>
        </w:rPr>
        <w:t>, amikor a pénzügyi kötelezettségeket nem amortizált bekerülési értéken kell értékelni</w:t>
      </w:r>
      <w:r>
        <w:rPr>
          <w:rFonts w:ascii="Times New Roman" w:hAnsi="Times New Roman" w:cs="Times New Roman"/>
          <w:sz w:val="24"/>
          <w:szCs w:val="24"/>
        </w:rPr>
        <w:t xml:space="preserve"> (2.</w:t>
      </w:r>
      <w:r w:rsidR="00821508">
        <w:rPr>
          <w:rFonts w:ascii="Times New Roman" w:hAnsi="Times New Roman" w:cs="Times New Roman"/>
          <w:sz w:val="24"/>
          <w:szCs w:val="24"/>
        </w:rPr>
        <w:t xml:space="preserve"> </w:t>
      </w:r>
      <w:r>
        <w:rPr>
          <w:rFonts w:ascii="Times New Roman" w:hAnsi="Times New Roman" w:cs="Times New Roman"/>
          <w:sz w:val="24"/>
          <w:szCs w:val="24"/>
        </w:rPr>
        <w:t>táblázat):</w:t>
      </w:r>
    </w:p>
    <w:tbl>
      <w:tblPr>
        <w:tblW w:w="9356" w:type="dxa"/>
        <w:tblInd w:w="108" w:type="dxa"/>
        <w:tblLook w:val="04A0"/>
      </w:tblPr>
      <w:tblGrid>
        <w:gridCol w:w="7371"/>
        <w:gridCol w:w="1985"/>
      </w:tblGrid>
      <w:tr w:rsidR="00FF0C9A" w:rsidRPr="00C647E5" w:rsidTr="00821508">
        <w:tc>
          <w:tcPr>
            <w:tcW w:w="7371" w:type="dxa"/>
          </w:tcPr>
          <w:p w:rsidR="00FF0C9A" w:rsidRPr="00C647E5" w:rsidRDefault="00821508" w:rsidP="00821508">
            <w:pPr>
              <w:pStyle w:val="Listaszerbekezds"/>
              <w:autoSpaceDE w:val="0"/>
              <w:autoSpaceDN w:val="0"/>
              <w:adjustRightInd w:val="0"/>
              <w:spacing w:after="120" w:line="360" w:lineRule="auto"/>
              <w:ind w:left="0"/>
              <w:jc w:val="center"/>
              <w:rPr>
                <w:rFonts w:ascii="Times New Roman" w:hAnsi="Times New Roman" w:cs="Times New Roman"/>
                <w:sz w:val="24"/>
                <w:szCs w:val="24"/>
              </w:rPr>
            </w:pPr>
            <w:r>
              <w:rPr>
                <w:rFonts w:ascii="Times New Roman" w:hAnsi="Times New Roman" w:cs="Times New Roman"/>
                <w:sz w:val="24"/>
                <w:szCs w:val="24"/>
              </w:rPr>
              <w:t>Pé</w:t>
            </w:r>
            <w:r w:rsidR="00FF0C9A" w:rsidRPr="00C647E5">
              <w:rPr>
                <w:rFonts w:ascii="Times New Roman" w:hAnsi="Times New Roman" w:cs="Times New Roman"/>
                <w:sz w:val="24"/>
                <w:szCs w:val="24"/>
              </w:rPr>
              <w:t>nzügyi kötelezettségek</w:t>
            </w:r>
          </w:p>
        </w:tc>
        <w:tc>
          <w:tcPr>
            <w:tcW w:w="1985" w:type="dxa"/>
          </w:tcPr>
          <w:p w:rsidR="00FF0C9A" w:rsidRPr="00C647E5" w:rsidRDefault="00821508"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Pr>
                <w:rFonts w:ascii="Times New Roman" w:hAnsi="Times New Roman" w:cs="Times New Roman"/>
                <w:sz w:val="24"/>
                <w:szCs w:val="24"/>
              </w:rPr>
              <w:t>É</w:t>
            </w:r>
            <w:r w:rsidR="00FF0C9A" w:rsidRPr="00C647E5">
              <w:rPr>
                <w:rFonts w:ascii="Times New Roman" w:hAnsi="Times New Roman" w:cs="Times New Roman"/>
                <w:sz w:val="24"/>
                <w:szCs w:val="24"/>
              </w:rPr>
              <w:t>rtékelés</w:t>
            </w:r>
          </w:p>
        </w:tc>
      </w:tr>
      <w:tr w:rsidR="00FF0C9A" w:rsidRPr="00C647E5" w:rsidTr="00821508">
        <w:tc>
          <w:tcPr>
            <w:tcW w:w="7371" w:type="dxa"/>
            <w:vAlign w:val="bottom"/>
          </w:tcPr>
          <w:p w:rsidR="00FF0C9A" w:rsidRPr="00C647E5" w:rsidRDefault="00FF0C9A" w:rsidP="00821508">
            <w:pPr>
              <w:pStyle w:val="Listaszerbekezds"/>
              <w:numPr>
                <w:ilvl w:val="0"/>
                <w:numId w:val="22"/>
              </w:numPr>
              <w:autoSpaceDE w:val="0"/>
              <w:autoSpaceDN w:val="0"/>
              <w:adjustRightInd w:val="0"/>
              <w:spacing w:after="120" w:line="360" w:lineRule="auto"/>
              <w:ind w:left="459"/>
              <w:rPr>
                <w:rFonts w:ascii="Times New Roman" w:hAnsi="Times New Roman" w:cs="Times New Roman"/>
                <w:b/>
                <w:sz w:val="24"/>
                <w:szCs w:val="24"/>
              </w:rPr>
            </w:pPr>
            <w:r w:rsidRPr="00C647E5">
              <w:rPr>
                <w:rFonts w:ascii="Times New Roman" w:hAnsi="Times New Roman" w:cs="Times New Roman"/>
                <w:b/>
                <w:sz w:val="24"/>
                <w:szCs w:val="24"/>
              </w:rPr>
              <w:t>kereskedési célú pénzügyi kötelezettségek</w:t>
            </w:r>
          </w:p>
        </w:tc>
        <w:tc>
          <w:tcPr>
            <w:tcW w:w="1985" w:type="dxa"/>
            <w:vAlign w:val="bottom"/>
          </w:tcPr>
          <w:p w:rsidR="00FF0C9A" w:rsidRPr="00C647E5"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C647E5">
              <w:rPr>
                <w:rFonts w:ascii="Times New Roman" w:hAnsi="Times New Roman" w:cs="Times New Roman"/>
                <w:sz w:val="24"/>
                <w:szCs w:val="24"/>
              </w:rPr>
              <w:t>FVTPL</w:t>
            </w:r>
          </w:p>
        </w:tc>
      </w:tr>
      <w:tr w:rsidR="00FF0C9A" w:rsidRPr="00C647E5" w:rsidTr="00821508">
        <w:tc>
          <w:tcPr>
            <w:tcW w:w="7371" w:type="dxa"/>
            <w:vAlign w:val="bottom"/>
          </w:tcPr>
          <w:p w:rsidR="00FF0C9A" w:rsidRPr="00C647E5" w:rsidRDefault="00FF0C9A" w:rsidP="00821508">
            <w:pPr>
              <w:pStyle w:val="Listaszerbekezds"/>
              <w:numPr>
                <w:ilvl w:val="0"/>
                <w:numId w:val="22"/>
              </w:numPr>
              <w:autoSpaceDE w:val="0"/>
              <w:autoSpaceDN w:val="0"/>
              <w:adjustRightInd w:val="0"/>
              <w:spacing w:after="120" w:line="360" w:lineRule="auto"/>
              <w:ind w:left="459"/>
              <w:rPr>
                <w:rFonts w:ascii="Times New Roman" w:hAnsi="Times New Roman" w:cs="Times New Roman"/>
                <w:b/>
                <w:sz w:val="24"/>
                <w:szCs w:val="24"/>
              </w:rPr>
            </w:pPr>
            <w:r w:rsidRPr="00C647E5">
              <w:rPr>
                <w:rFonts w:ascii="Times New Roman" w:hAnsi="Times New Roman" w:cs="Times New Roman"/>
                <w:b/>
                <w:sz w:val="24"/>
                <w:szCs w:val="24"/>
              </w:rPr>
              <w:t>valós érték opció alkalmazása</w:t>
            </w:r>
          </w:p>
        </w:tc>
        <w:tc>
          <w:tcPr>
            <w:tcW w:w="1985" w:type="dxa"/>
            <w:vAlign w:val="bottom"/>
          </w:tcPr>
          <w:p w:rsidR="00FF0C9A" w:rsidRPr="00C647E5"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C647E5">
              <w:rPr>
                <w:rFonts w:ascii="Times New Roman" w:hAnsi="Times New Roman" w:cs="Times New Roman"/>
                <w:sz w:val="24"/>
                <w:szCs w:val="24"/>
              </w:rPr>
              <w:t>FVTPL</w:t>
            </w:r>
          </w:p>
        </w:tc>
      </w:tr>
      <w:tr w:rsidR="00FF0C9A" w:rsidRPr="00C647E5" w:rsidTr="00821508">
        <w:tc>
          <w:tcPr>
            <w:tcW w:w="7371" w:type="dxa"/>
            <w:vAlign w:val="bottom"/>
          </w:tcPr>
          <w:p w:rsidR="00FF0C9A" w:rsidRPr="00C647E5" w:rsidRDefault="00FF0C9A" w:rsidP="00821508">
            <w:pPr>
              <w:pStyle w:val="Listaszerbekezds"/>
              <w:numPr>
                <w:ilvl w:val="0"/>
                <w:numId w:val="22"/>
              </w:numPr>
              <w:autoSpaceDE w:val="0"/>
              <w:autoSpaceDN w:val="0"/>
              <w:adjustRightInd w:val="0"/>
              <w:spacing w:after="120" w:line="360" w:lineRule="auto"/>
              <w:ind w:left="459"/>
              <w:rPr>
                <w:rFonts w:ascii="Times New Roman" w:hAnsi="Times New Roman" w:cs="Times New Roman"/>
                <w:b/>
                <w:sz w:val="24"/>
                <w:szCs w:val="24"/>
              </w:rPr>
            </w:pPr>
            <w:r w:rsidRPr="00C647E5">
              <w:rPr>
                <w:rFonts w:ascii="Times New Roman" w:hAnsi="Times New Roman" w:cs="Times New Roman"/>
                <w:b/>
                <w:sz w:val="24"/>
                <w:szCs w:val="24"/>
              </w:rPr>
              <w:t>pénzügyi garancia szerződések</w:t>
            </w:r>
          </w:p>
        </w:tc>
        <w:tc>
          <w:tcPr>
            <w:tcW w:w="1985" w:type="dxa"/>
            <w:vAlign w:val="bottom"/>
          </w:tcPr>
          <w:p w:rsidR="00FF0C9A" w:rsidRPr="00C647E5"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C647E5">
              <w:rPr>
                <w:rFonts w:ascii="Times New Roman" w:hAnsi="Times New Roman" w:cs="Times New Roman"/>
                <w:sz w:val="24"/>
                <w:szCs w:val="24"/>
              </w:rPr>
              <w:t>speciális értékelés</w:t>
            </w:r>
          </w:p>
        </w:tc>
      </w:tr>
      <w:tr w:rsidR="00FF0C9A" w:rsidRPr="00C647E5" w:rsidTr="00821508">
        <w:trPr>
          <w:trHeight w:val="729"/>
        </w:trPr>
        <w:tc>
          <w:tcPr>
            <w:tcW w:w="7371" w:type="dxa"/>
            <w:vAlign w:val="bottom"/>
          </w:tcPr>
          <w:p w:rsidR="00FF0C9A" w:rsidRPr="00FF0C9A" w:rsidRDefault="00FF0C9A" w:rsidP="00821508">
            <w:pPr>
              <w:pStyle w:val="Listaszerbekezds"/>
              <w:numPr>
                <w:ilvl w:val="0"/>
                <w:numId w:val="22"/>
              </w:numPr>
              <w:autoSpaceDE w:val="0"/>
              <w:autoSpaceDN w:val="0"/>
              <w:adjustRightInd w:val="0"/>
              <w:spacing w:after="0" w:line="360" w:lineRule="auto"/>
              <w:ind w:left="453" w:hanging="357"/>
              <w:rPr>
                <w:rFonts w:ascii="Times New Roman" w:hAnsi="Times New Roman" w:cs="Times New Roman"/>
                <w:b/>
                <w:sz w:val="24"/>
                <w:szCs w:val="24"/>
              </w:rPr>
            </w:pPr>
            <w:r w:rsidRPr="00FF0C9A">
              <w:rPr>
                <w:rFonts w:ascii="Times New Roman" w:hAnsi="Times New Roman" w:cs="Times New Roman"/>
                <w:b/>
                <w:sz w:val="24"/>
                <w:szCs w:val="24"/>
              </w:rPr>
              <w:t>(kedvezményes) hitelnyújtási elkötelezettségek a piaci kamatlábnál alacsonyabb kamattal</w:t>
            </w:r>
          </w:p>
        </w:tc>
        <w:tc>
          <w:tcPr>
            <w:tcW w:w="1985" w:type="dxa"/>
            <w:vAlign w:val="center"/>
          </w:tcPr>
          <w:p w:rsidR="00FF0C9A" w:rsidRPr="00C647E5"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C647E5">
              <w:rPr>
                <w:rFonts w:ascii="Times New Roman" w:hAnsi="Times New Roman" w:cs="Times New Roman"/>
                <w:sz w:val="24"/>
                <w:szCs w:val="24"/>
              </w:rPr>
              <w:t>speciális értékelés</w:t>
            </w:r>
          </w:p>
        </w:tc>
      </w:tr>
      <w:tr w:rsidR="00FF0C9A" w:rsidRPr="00C647E5" w:rsidTr="00821508">
        <w:trPr>
          <w:trHeight w:val="463"/>
        </w:trPr>
        <w:tc>
          <w:tcPr>
            <w:tcW w:w="7371" w:type="dxa"/>
            <w:vAlign w:val="bottom"/>
          </w:tcPr>
          <w:p w:rsidR="00FF0C9A" w:rsidRPr="00FF0C9A" w:rsidRDefault="00FF0C9A" w:rsidP="00821508">
            <w:pPr>
              <w:pStyle w:val="Listaszerbekezds"/>
              <w:numPr>
                <w:ilvl w:val="0"/>
                <w:numId w:val="22"/>
              </w:numPr>
              <w:autoSpaceDE w:val="0"/>
              <w:autoSpaceDN w:val="0"/>
              <w:adjustRightInd w:val="0"/>
              <w:spacing w:after="120" w:line="360" w:lineRule="auto"/>
              <w:ind w:left="459"/>
              <w:rPr>
                <w:rFonts w:ascii="Times New Roman" w:hAnsi="Times New Roman" w:cs="Times New Roman"/>
                <w:b/>
                <w:sz w:val="24"/>
                <w:szCs w:val="24"/>
              </w:rPr>
            </w:pPr>
            <w:r w:rsidRPr="00FF0C9A">
              <w:rPr>
                <w:rFonts w:ascii="Times New Roman" w:hAnsi="Times New Roman" w:cs="Times New Roman"/>
                <w:b/>
                <w:sz w:val="24"/>
                <w:szCs w:val="24"/>
              </w:rPr>
              <w:t>üzleti kombinációval kapcsolatos függő ellenérték a felvásárlónál</w:t>
            </w:r>
          </w:p>
        </w:tc>
        <w:tc>
          <w:tcPr>
            <w:tcW w:w="1985" w:type="dxa"/>
            <w:vAlign w:val="center"/>
          </w:tcPr>
          <w:p w:rsidR="00FF0C9A" w:rsidRPr="00C647E5"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C647E5">
              <w:rPr>
                <w:rFonts w:ascii="Times New Roman" w:hAnsi="Times New Roman" w:cs="Times New Roman"/>
                <w:sz w:val="24"/>
                <w:szCs w:val="24"/>
              </w:rPr>
              <w:t>FVTPL</w:t>
            </w:r>
          </w:p>
        </w:tc>
      </w:tr>
    </w:tbl>
    <w:p w:rsidR="00FF0C9A" w:rsidRPr="00C647E5" w:rsidRDefault="00FF0C9A" w:rsidP="00FF0C9A">
      <w:pPr>
        <w:autoSpaceDE w:val="0"/>
        <w:autoSpaceDN w:val="0"/>
        <w:adjustRightInd w:val="0"/>
        <w:spacing w:before="120" w:after="240" w:line="360" w:lineRule="auto"/>
        <w:rPr>
          <w:rFonts w:ascii="Times New Roman" w:hAnsi="Times New Roman" w:cs="Times New Roman"/>
          <w:sz w:val="20"/>
          <w:szCs w:val="20"/>
        </w:rPr>
      </w:pPr>
      <w:proofErr w:type="gramStart"/>
      <w:r w:rsidRPr="00C647E5">
        <w:rPr>
          <w:rFonts w:ascii="Times New Roman" w:hAnsi="Times New Roman" w:cs="Times New Roman"/>
          <w:sz w:val="20"/>
          <w:szCs w:val="20"/>
        </w:rPr>
        <w:t>forrás</w:t>
      </w:r>
      <w:proofErr w:type="gramEnd"/>
      <w:r w:rsidRPr="00C647E5">
        <w:rPr>
          <w:rFonts w:ascii="Times New Roman" w:hAnsi="Times New Roman" w:cs="Times New Roman"/>
          <w:sz w:val="20"/>
          <w:szCs w:val="20"/>
        </w:rPr>
        <w:t>:http://www.kpmg.com/Global/en/IssuesAndInsights/ArticlesPublications/first-impressions/Documents/ first-impressions-IFRS9.pdf, 6.1.</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Az egyéb átfogó eredménnyel szemben gyakorlatilag csak a valós érték opció alkalmazása esetén a hitelezési kockázat megváltozásával összefüggésben lévő valós érték változásokat kell elszámolni a pénzügyi kötelezettségeknél.</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Ha egy pénzügyi kötelezettség értéke negatívvá válik, akkor pénzügyi eszköznek minősül, eszközként kell besorolni és értékelni a továbbiakban.</w:t>
      </w:r>
    </w:p>
    <w:p w:rsidR="00FF0C9A" w:rsidRPr="00C647E5"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C647E5">
        <w:rPr>
          <w:rFonts w:ascii="Times New Roman" w:hAnsi="Times New Roman" w:cs="Times New Roman"/>
          <w:b/>
          <w:sz w:val="24"/>
          <w:szCs w:val="24"/>
        </w:rPr>
        <w:t>Valós érték opció</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A valós érték opciónak köszönhetően a gazdálkodó egység </w:t>
      </w:r>
      <w:r w:rsidRPr="003835A2">
        <w:rPr>
          <w:rFonts w:ascii="Times New Roman" w:hAnsi="Times New Roman" w:cs="Times New Roman"/>
          <w:b/>
          <w:sz w:val="24"/>
          <w:szCs w:val="24"/>
        </w:rPr>
        <w:t>értékelhet</w:t>
      </w:r>
      <w:r w:rsidRPr="00C647E5">
        <w:rPr>
          <w:rFonts w:ascii="Times New Roman" w:hAnsi="Times New Roman" w:cs="Times New Roman"/>
          <w:sz w:val="24"/>
          <w:szCs w:val="24"/>
        </w:rPr>
        <w:t xml:space="preserve"> valós értéken az eredménnyel szemben (FVTPL) olyan pénzügyi kötelezettségeket, amelyeket a szabályok szerint amortizált bekerülési értéken kellene értékelni (hasonlóan, mint a pénzügyi eszközök esetében).</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A valós érték opció alkalmazásának feltételei a pénzügyi kötelezettségeknél:</w:t>
      </w:r>
    </w:p>
    <w:p w:rsidR="00FF0C9A" w:rsidRPr="00C647E5" w:rsidRDefault="00FF0C9A" w:rsidP="00821508">
      <w:pPr>
        <w:pStyle w:val="Listaszerbekezds"/>
        <w:numPr>
          <w:ilvl w:val="0"/>
          <w:numId w:val="20"/>
        </w:numPr>
        <w:autoSpaceDE w:val="0"/>
        <w:autoSpaceDN w:val="0"/>
        <w:adjustRightInd w:val="0"/>
        <w:spacing w:after="240" w:line="24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ezáltal relevánsabb információt tud bemutatni a gazdálkodó egység a pénzügyi kimutatásaiban:</w:t>
      </w:r>
    </w:p>
    <w:p w:rsidR="00FF0C9A" w:rsidRPr="00821508" w:rsidRDefault="00FF0C9A" w:rsidP="00821508">
      <w:pPr>
        <w:pStyle w:val="Listaszerbekezds"/>
        <w:numPr>
          <w:ilvl w:val="1"/>
          <w:numId w:val="20"/>
        </w:numPr>
        <w:autoSpaceDE w:val="0"/>
        <w:autoSpaceDN w:val="0"/>
        <w:adjustRightInd w:val="0"/>
        <w:spacing w:after="120" w:line="360" w:lineRule="auto"/>
        <w:ind w:left="1491"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megszüntet vagy szignifikánsan lecsökkent valamely értékelési vagy megjelenítési inkonzisztenciát</w:t>
      </w:r>
      <w:r w:rsidR="00821508">
        <w:rPr>
          <w:rFonts w:ascii="Times New Roman" w:hAnsi="Times New Roman" w:cs="Times New Roman"/>
          <w:sz w:val="24"/>
          <w:szCs w:val="24"/>
        </w:rPr>
        <w:t>;</w:t>
      </w:r>
    </w:p>
    <w:p w:rsidR="00FF0C9A" w:rsidRPr="00C647E5" w:rsidRDefault="00FF0C9A" w:rsidP="00174EBB">
      <w:pPr>
        <w:pStyle w:val="Listaszerbekezds"/>
        <w:numPr>
          <w:ilvl w:val="1"/>
          <w:numId w:val="20"/>
        </w:numPr>
        <w:autoSpaceDE w:val="0"/>
        <w:autoSpaceDN w:val="0"/>
        <w:adjustRightInd w:val="0"/>
        <w:spacing w:after="120" w:line="360" w:lineRule="auto"/>
        <w:ind w:left="1491"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egy portfólió</w:t>
      </w:r>
      <w:r w:rsidR="00821508">
        <w:rPr>
          <w:rFonts w:ascii="Times New Roman" w:hAnsi="Times New Roman" w:cs="Times New Roman"/>
          <w:sz w:val="24"/>
          <w:szCs w:val="24"/>
        </w:rPr>
        <w:t xml:space="preserve"> </w:t>
      </w:r>
      <w:r w:rsidRPr="00C647E5">
        <w:rPr>
          <w:rFonts w:ascii="Times New Roman" w:hAnsi="Times New Roman" w:cs="Times New Roman"/>
          <w:sz w:val="24"/>
          <w:szCs w:val="24"/>
        </w:rPr>
        <w:t>kezelése és teljesítményének értékelése</w:t>
      </w:r>
      <w:r w:rsidR="00821508">
        <w:rPr>
          <w:rFonts w:ascii="Times New Roman" w:hAnsi="Times New Roman" w:cs="Times New Roman"/>
          <w:sz w:val="24"/>
          <w:szCs w:val="24"/>
        </w:rPr>
        <w:t xml:space="preserve"> valós érték alapon történik (</w:t>
      </w:r>
      <w:r w:rsidRPr="00C647E5">
        <w:rPr>
          <w:rFonts w:ascii="Times New Roman" w:hAnsi="Times New Roman" w:cs="Times New Roman"/>
          <w:sz w:val="24"/>
          <w:szCs w:val="24"/>
        </w:rPr>
        <w:t>egy dokumentált befektetési vagy kockázatkezelési stratégiával összhangban)</w:t>
      </w:r>
      <w:r w:rsidR="00821508">
        <w:rPr>
          <w:rFonts w:ascii="Times New Roman" w:hAnsi="Times New Roman" w:cs="Times New Roman"/>
          <w:sz w:val="24"/>
          <w:szCs w:val="24"/>
        </w:rPr>
        <w:t>;</w:t>
      </w:r>
    </w:p>
    <w:p w:rsidR="00FF0C9A" w:rsidRPr="00C647E5" w:rsidRDefault="00FF0C9A" w:rsidP="00174EBB">
      <w:pPr>
        <w:pStyle w:val="Listaszerbekezds"/>
        <w:numPr>
          <w:ilvl w:val="0"/>
          <w:numId w:val="2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csak a pénzügyi kötelezettségek kezdeti megjelenítésekor lehet alkalmazni</w:t>
      </w:r>
      <w:r w:rsidR="00821508">
        <w:rPr>
          <w:rFonts w:ascii="Times New Roman" w:hAnsi="Times New Roman" w:cs="Times New Roman"/>
          <w:sz w:val="24"/>
          <w:szCs w:val="24"/>
        </w:rPr>
        <w:t>;</w:t>
      </w:r>
    </w:p>
    <w:p w:rsidR="00FF0C9A" w:rsidRPr="00C647E5" w:rsidRDefault="00FF0C9A" w:rsidP="00174EBB">
      <w:pPr>
        <w:pStyle w:val="Listaszerbekezds"/>
        <w:numPr>
          <w:ilvl w:val="0"/>
          <w:numId w:val="20"/>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a döntés visszavonhatatlan.</w:t>
      </w:r>
    </w:p>
    <w:p w:rsidR="00FF0C9A" w:rsidRPr="00C647E5"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C647E5">
        <w:rPr>
          <w:rFonts w:ascii="Times New Roman" w:hAnsi="Times New Roman" w:cs="Times New Roman"/>
          <w:b/>
          <w:sz w:val="24"/>
          <w:szCs w:val="24"/>
        </w:rPr>
        <w:t xml:space="preserve">Beágyazott </w:t>
      </w:r>
      <w:proofErr w:type="spellStart"/>
      <w:r w:rsidRPr="00C647E5">
        <w:rPr>
          <w:rFonts w:ascii="Times New Roman" w:hAnsi="Times New Roman" w:cs="Times New Roman"/>
          <w:b/>
          <w:sz w:val="24"/>
          <w:szCs w:val="24"/>
        </w:rPr>
        <w:t>derivatívák</w:t>
      </w:r>
      <w:proofErr w:type="spellEnd"/>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Ha egy beágyazott </w:t>
      </w:r>
      <w:proofErr w:type="spellStart"/>
      <w:r w:rsidRPr="00C647E5">
        <w:rPr>
          <w:rFonts w:ascii="Times New Roman" w:hAnsi="Times New Roman" w:cs="Times New Roman"/>
          <w:sz w:val="24"/>
          <w:szCs w:val="24"/>
        </w:rPr>
        <w:t>derivatíváról</w:t>
      </w:r>
      <w:proofErr w:type="spellEnd"/>
      <w:r w:rsidRPr="00C647E5">
        <w:rPr>
          <w:rFonts w:ascii="Times New Roman" w:hAnsi="Times New Roman" w:cs="Times New Roman"/>
          <w:sz w:val="24"/>
          <w:szCs w:val="24"/>
        </w:rPr>
        <w:t xml:space="preserve"> beszélünk, akkor mindig tudni kell azonosítani egy </w:t>
      </w:r>
      <w:r w:rsidRPr="003835A2">
        <w:rPr>
          <w:rFonts w:ascii="Times New Roman" w:hAnsi="Times New Roman" w:cs="Times New Roman"/>
          <w:b/>
          <w:sz w:val="24"/>
          <w:szCs w:val="24"/>
        </w:rPr>
        <w:t>alapszerződést</w:t>
      </w:r>
      <w:r w:rsidRPr="00C647E5">
        <w:rPr>
          <w:rFonts w:ascii="Times New Roman" w:hAnsi="Times New Roman" w:cs="Times New Roman"/>
          <w:sz w:val="24"/>
          <w:szCs w:val="24"/>
        </w:rPr>
        <w:t xml:space="preserve"> is mellé, amelyben „el van rejtve” a származékos ügyletünk. Ez az alapszerződés majdnem bármi lehet, egy fontos kitétel van vele kapcsolatban: ne legyen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(származékos ügylet). Az alapszerződés és a beágyazott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együtt egy hibrid szerződést alkotnak. A beágyazott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hatására az alapszerződés cash flow-inak egy része (vagy az összes cash flow-ja) mögöttes változóktól válik függővé, így </w:t>
      </w:r>
      <w:proofErr w:type="gramStart"/>
      <w:r w:rsidRPr="00C647E5">
        <w:rPr>
          <w:rFonts w:ascii="Times New Roman" w:hAnsi="Times New Roman" w:cs="Times New Roman"/>
          <w:sz w:val="24"/>
          <w:szCs w:val="24"/>
        </w:rPr>
        <w:t>ezen</w:t>
      </w:r>
      <w:proofErr w:type="gramEnd"/>
      <w:r w:rsidRPr="00C647E5">
        <w:rPr>
          <w:rFonts w:ascii="Times New Roman" w:hAnsi="Times New Roman" w:cs="Times New Roman"/>
          <w:sz w:val="24"/>
          <w:szCs w:val="24"/>
        </w:rPr>
        <w:t xml:space="preserve"> részek önálló </w:t>
      </w:r>
      <w:proofErr w:type="spellStart"/>
      <w:r w:rsidRPr="00C647E5">
        <w:rPr>
          <w:rFonts w:ascii="Times New Roman" w:hAnsi="Times New Roman" w:cs="Times New Roman"/>
          <w:sz w:val="24"/>
          <w:szCs w:val="24"/>
        </w:rPr>
        <w:t>derivatívákhoz</w:t>
      </w:r>
      <w:proofErr w:type="spellEnd"/>
      <w:r w:rsidRPr="00C647E5">
        <w:rPr>
          <w:rFonts w:ascii="Times New Roman" w:hAnsi="Times New Roman" w:cs="Times New Roman"/>
          <w:sz w:val="24"/>
          <w:szCs w:val="24"/>
        </w:rPr>
        <w:t xml:space="preserve"> hasonlóan viselkednek.</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Az olyan </w:t>
      </w:r>
      <w:proofErr w:type="spellStart"/>
      <w:r w:rsidRPr="00C647E5">
        <w:rPr>
          <w:rFonts w:ascii="Times New Roman" w:hAnsi="Times New Roman" w:cs="Times New Roman"/>
          <w:sz w:val="24"/>
          <w:szCs w:val="24"/>
        </w:rPr>
        <w:t>derivatívák</w:t>
      </w:r>
      <w:proofErr w:type="spellEnd"/>
      <w:r w:rsidRPr="00C647E5">
        <w:rPr>
          <w:rFonts w:ascii="Times New Roman" w:hAnsi="Times New Roman" w:cs="Times New Roman"/>
          <w:sz w:val="24"/>
          <w:szCs w:val="24"/>
        </w:rPr>
        <w:t xml:space="preserve">, amelyek ugyan egy másik szerződéshez kapcsolódnak, de önállóan is átruházhatók, vagy az alapszerződéstől eltérő féllel szemben érvényesíthetőek, nem számítanak beágyazott </w:t>
      </w:r>
      <w:proofErr w:type="spellStart"/>
      <w:r w:rsidRPr="00C647E5">
        <w:rPr>
          <w:rFonts w:ascii="Times New Roman" w:hAnsi="Times New Roman" w:cs="Times New Roman"/>
          <w:sz w:val="24"/>
          <w:szCs w:val="24"/>
        </w:rPr>
        <w:t>derivatíváknak</w:t>
      </w:r>
      <w:proofErr w:type="spellEnd"/>
      <w:r w:rsidRPr="00C647E5">
        <w:rPr>
          <w:rFonts w:ascii="Times New Roman" w:hAnsi="Times New Roman" w:cs="Times New Roman"/>
          <w:sz w:val="24"/>
          <w:szCs w:val="24"/>
        </w:rPr>
        <w:t>, különálló instrumentumok.</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A beágyazott </w:t>
      </w:r>
      <w:proofErr w:type="spellStart"/>
      <w:r w:rsidRPr="00C647E5">
        <w:rPr>
          <w:rFonts w:ascii="Times New Roman" w:hAnsi="Times New Roman" w:cs="Times New Roman"/>
          <w:sz w:val="24"/>
          <w:szCs w:val="24"/>
        </w:rPr>
        <w:t>derivatívákat</w:t>
      </w:r>
      <w:proofErr w:type="spellEnd"/>
      <w:r w:rsidRPr="00C647E5">
        <w:rPr>
          <w:rFonts w:ascii="Times New Roman" w:hAnsi="Times New Roman" w:cs="Times New Roman"/>
          <w:sz w:val="24"/>
          <w:szCs w:val="24"/>
        </w:rPr>
        <w:t xml:space="preserve"> valahogyan értékelni kell, a következőkben ismertetem, hogy az IFRS 9 standard milyen szabályokat fektetett le ezzel kapcsolatosan.</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Ha az </w:t>
      </w:r>
      <w:r w:rsidRPr="00C647E5">
        <w:rPr>
          <w:rFonts w:ascii="Times New Roman" w:hAnsi="Times New Roman" w:cs="Times New Roman"/>
          <w:b/>
          <w:sz w:val="24"/>
          <w:szCs w:val="24"/>
        </w:rPr>
        <w:t>alapszerződés az IFRS 9 szerinti pénzügyi eszköz</w:t>
      </w:r>
      <w:r w:rsidRPr="00C647E5">
        <w:rPr>
          <w:rFonts w:ascii="Times New Roman" w:hAnsi="Times New Roman" w:cs="Times New Roman"/>
          <w:sz w:val="24"/>
          <w:szCs w:val="24"/>
        </w:rPr>
        <w:t xml:space="preserve">nek minősül, akkor az egész hibrid szerződést egységesen, pénzügyi eszközként kell értékelni. Ez általában az eredménnyel szembeni valós értékelést (FVTPL) jelent, hiszen a beágyazott </w:t>
      </w:r>
      <w:proofErr w:type="spellStart"/>
      <w:r w:rsidRPr="00C647E5">
        <w:rPr>
          <w:rFonts w:ascii="Times New Roman" w:hAnsi="Times New Roman" w:cs="Times New Roman"/>
          <w:sz w:val="24"/>
          <w:szCs w:val="24"/>
        </w:rPr>
        <w:t>derivatívának</w:t>
      </w:r>
      <w:proofErr w:type="spellEnd"/>
      <w:r w:rsidRPr="00C647E5">
        <w:rPr>
          <w:rFonts w:ascii="Times New Roman" w:hAnsi="Times New Roman" w:cs="Times New Roman"/>
          <w:sz w:val="24"/>
          <w:szCs w:val="24"/>
        </w:rPr>
        <w:t xml:space="preserve"> köszönhetően nehezen képzelhető el, hogy megfeleljen a hibrid szerződés a cash flow feltételnek.</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Ha az </w:t>
      </w:r>
      <w:r w:rsidRPr="00C647E5">
        <w:rPr>
          <w:rFonts w:ascii="Times New Roman" w:hAnsi="Times New Roman" w:cs="Times New Roman"/>
          <w:b/>
          <w:sz w:val="24"/>
          <w:szCs w:val="24"/>
        </w:rPr>
        <w:t>alapszerződés nem az IFRS 9 hatálya alá tartozó pénzügyi eszköz</w:t>
      </w:r>
      <w:r w:rsidRPr="00C647E5">
        <w:rPr>
          <w:rFonts w:ascii="Times New Roman" w:hAnsi="Times New Roman" w:cs="Times New Roman"/>
          <w:sz w:val="24"/>
          <w:szCs w:val="24"/>
        </w:rPr>
        <w:t xml:space="preserve">, akkor meg kell vizsgálni, hogy az alapszerződés és a beágyazott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szétválasztható-e. Ha az alábbi három feltétel együttesen teljesül, akkor le kell választani a beágyazott származékos terméket az alapszerződésről, és az alapszerződést az arra vonatkozó </w:t>
      </w:r>
      <w:proofErr w:type="spellStart"/>
      <w:r w:rsidRPr="00C647E5">
        <w:rPr>
          <w:rFonts w:ascii="Times New Roman" w:hAnsi="Times New Roman" w:cs="Times New Roman"/>
          <w:sz w:val="24"/>
          <w:szCs w:val="24"/>
        </w:rPr>
        <w:t>IFRS-sel</w:t>
      </w:r>
      <w:proofErr w:type="spellEnd"/>
      <w:r w:rsidRPr="00C647E5">
        <w:rPr>
          <w:rFonts w:ascii="Times New Roman" w:hAnsi="Times New Roman" w:cs="Times New Roman"/>
          <w:sz w:val="24"/>
          <w:szCs w:val="24"/>
        </w:rPr>
        <w:t xml:space="preserve"> összhangban, míg a </w:t>
      </w:r>
      <w:proofErr w:type="spellStart"/>
      <w:r w:rsidRPr="00C647E5">
        <w:rPr>
          <w:rFonts w:ascii="Times New Roman" w:hAnsi="Times New Roman" w:cs="Times New Roman"/>
          <w:sz w:val="24"/>
          <w:szCs w:val="24"/>
        </w:rPr>
        <w:t>derivatívát</w:t>
      </w:r>
      <w:proofErr w:type="spellEnd"/>
      <w:r w:rsidRPr="00C647E5">
        <w:rPr>
          <w:rFonts w:ascii="Times New Roman" w:hAnsi="Times New Roman" w:cs="Times New Roman"/>
          <w:sz w:val="24"/>
          <w:szCs w:val="24"/>
        </w:rPr>
        <w:t xml:space="preserve"> önállóan a származékos ügyleteknek megfelelően – az eredménnyel szemben valós értéken – kell értékelni:</w:t>
      </w:r>
    </w:p>
    <w:p w:rsidR="00FF0C9A" w:rsidRPr="00C647E5" w:rsidRDefault="00FF0C9A" w:rsidP="00174EBB">
      <w:pPr>
        <w:pStyle w:val="Listaszerbekezds"/>
        <w:numPr>
          <w:ilvl w:val="0"/>
          <w:numId w:val="2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 xml:space="preserve">a beágyazott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gazdasági jellemzői és kockázatai nincsenek szoros kapcsolatban az alapszerződés gazdasági jellemzőivel és kockázataival</w:t>
      </w:r>
    </w:p>
    <w:p w:rsidR="00FF0C9A" w:rsidRPr="00C647E5" w:rsidRDefault="00FF0C9A" w:rsidP="00174EBB">
      <w:pPr>
        <w:pStyle w:val="Listaszerbekezds"/>
        <w:numPr>
          <w:ilvl w:val="0"/>
          <w:numId w:val="2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 xml:space="preserve">a beágyazott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leválasztva is teljesíti a származékos ügyletek definícióját</w:t>
      </w:r>
    </w:p>
    <w:p w:rsidR="00FF0C9A" w:rsidRPr="00C647E5" w:rsidRDefault="00FF0C9A" w:rsidP="00174EBB">
      <w:pPr>
        <w:pStyle w:val="Listaszerbekezds"/>
        <w:numPr>
          <w:ilvl w:val="0"/>
          <w:numId w:val="23"/>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a hibrid szerződés nem az eredménnyel szemben valós értéken van értékelve.</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Ha nincs szétválasztás, akkor a hibrid szerződést egységesen, a rá vonatkozó </w:t>
      </w:r>
      <w:proofErr w:type="spellStart"/>
      <w:r w:rsidRPr="00C647E5">
        <w:rPr>
          <w:rFonts w:ascii="Times New Roman" w:hAnsi="Times New Roman" w:cs="Times New Roman"/>
          <w:sz w:val="24"/>
          <w:szCs w:val="24"/>
        </w:rPr>
        <w:t>IFRS-eknek</w:t>
      </w:r>
      <w:proofErr w:type="spellEnd"/>
      <w:r w:rsidRPr="00C647E5">
        <w:rPr>
          <w:rFonts w:ascii="Times New Roman" w:hAnsi="Times New Roman" w:cs="Times New Roman"/>
          <w:sz w:val="24"/>
          <w:szCs w:val="24"/>
        </w:rPr>
        <w:t xml:space="preserve"> megfelelően kell értékelni.</w:t>
      </w:r>
    </w:p>
    <w:p w:rsidR="00FF0C9A" w:rsidRPr="00C647E5"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647E5">
        <w:rPr>
          <w:rFonts w:ascii="Times New Roman" w:hAnsi="Times New Roman" w:cs="Times New Roman"/>
          <w:sz w:val="24"/>
          <w:szCs w:val="24"/>
        </w:rPr>
        <w:t xml:space="preserve">Előfordulhat, hogy a beágyazott </w:t>
      </w:r>
      <w:proofErr w:type="spellStart"/>
      <w:r w:rsidRPr="00C647E5">
        <w:rPr>
          <w:rFonts w:ascii="Times New Roman" w:hAnsi="Times New Roman" w:cs="Times New Roman"/>
          <w:sz w:val="24"/>
          <w:szCs w:val="24"/>
        </w:rPr>
        <w:t>derivatívát</w:t>
      </w:r>
      <w:proofErr w:type="spellEnd"/>
      <w:r w:rsidRPr="00C647E5">
        <w:rPr>
          <w:rFonts w:ascii="Times New Roman" w:hAnsi="Times New Roman" w:cs="Times New Roman"/>
          <w:sz w:val="24"/>
          <w:szCs w:val="24"/>
        </w:rPr>
        <w:t xml:space="preserve"> le kellene választani az alapszerződésről, de a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értéke nem határozható meg akár bekerüléskor, akár a későbbiek során, és így az egész szerződést egységesen az eredménnyel szemben valós értéken kell értékelni kényszerűségből.</w:t>
      </w:r>
    </w:p>
    <w:p w:rsidR="00FF0C9A" w:rsidRPr="00C647E5" w:rsidRDefault="00FF0C9A" w:rsidP="00174EBB">
      <w:pPr>
        <w:pStyle w:val="Listaszerbekezds"/>
        <w:numPr>
          <w:ilvl w:val="0"/>
          <w:numId w:val="25"/>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C647E5">
        <w:rPr>
          <w:rFonts w:ascii="Times New Roman" w:hAnsi="Times New Roman" w:cs="Times New Roman"/>
          <w:sz w:val="24"/>
          <w:szCs w:val="24"/>
        </w:rPr>
        <w:t xml:space="preserve">Ha ugyan a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valós értéke nem határozható meg, de mind a teljes hibrid szerződés, mind az alapszerződés valós értéke igen, akkor a </w:t>
      </w:r>
      <w:proofErr w:type="spellStart"/>
      <w:r w:rsidRPr="00C647E5">
        <w:rPr>
          <w:rFonts w:ascii="Times New Roman" w:hAnsi="Times New Roman" w:cs="Times New Roman"/>
          <w:sz w:val="24"/>
          <w:szCs w:val="24"/>
        </w:rPr>
        <w:t>derivatíva</w:t>
      </w:r>
      <w:proofErr w:type="spellEnd"/>
      <w:r w:rsidRPr="00C647E5">
        <w:rPr>
          <w:rFonts w:ascii="Times New Roman" w:hAnsi="Times New Roman" w:cs="Times New Roman"/>
          <w:sz w:val="24"/>
          <w:szCs w:val="24"/>
        </w:rPr>
        <w:t xml:space="preserve"> valós értéke a két valós érték különbözetéből adódik.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b/>
          <w:sz w:val="24"/>
          <w:szCs w:val="24"/>
        </w:rPr>
        <w:t>Az előzőek ellenére, ha az alapszerződés nem az IFRS 9 hatálya alá tartozó pénzügyi eszköz</w:t>
      </w:r>
      <w:r w:rsidRPr="00AC5D57">
        <w:rPr>
          <w:rFonts w:ascii="Times New Roman" w:hAnsi="Times New Roman" w:cs="Times New Roman"/>
          <w:sz w:val="24"/>
          <w:szCs w:val="24"/>
        </w:rPr>
        <w:t>, akkor a standard megengedi, hogy az egész hibrid szerződést egységesen az eredménnyel szemben valós értéken (FVTPL) értékeljük, KIVÉVE ha:</w:t>
      </w:r>
    </w:p>
    <w:p w:rsidR="00FF0C9A" w:rsidRPr="00821508" w:rsidRDefault="00FF0C9A" w:rsidP="00821508">
      <w:pPr>
        <w:pStyle w:val="Listaszerbekezds"/>
        <w:numPr>
          <w:ilvl w:val="0"/>
          <w:numId w:val="2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beágyazott </w:t>
      </w:r>
      <w:proofErr w:type="spellStart"/>
      <w:proofErr w:type="gramStart"/>
      <w:r w:rsidRPr="00AC5D57">
        <w:rPr>
          <w:rFonts w:ascii="Times New Roman" w:hAnsi="Times New Roman" w:cs="Times New Roman"/>
          <w:sz w:val="24"/>
          <w:szCs w:val="24"/>
        </w:rPr>
        <w:t>derivatívá</w:t>
      </w:r>
      <w:proofErr w:type="spellEnd"/>
      <w:r w:rsidRPr="00AC5D57">
        <w:rPr>
          <w:rFonts w:ascii="Times New Roman" w:hAnsi="Times New Roman" w:cs="Times New Roman"/>
          <w:sz w:val="24"/>
          <w:szCs w:val="24"/>
        </w:rPr>
        <w:t>(</w:t>
      </w:r>
      <w:proofErr w:type="gramEnd"/>
      <w:r w:rsidRPr="00AC5D57">
        <w:rPr>
          <w:rFonts w:ascii="Times New Roman" w:hAnsi="Times New Roman" w:cs="Times New Roman"/>
          <w:sz w:val="24"/>
          <w:szCs w:val="24"/>
        </w:rPr>
        <w:t xml:space="preserve">k) nem </w:t>
      </w:r>
      <w:proofErr w:type="spellStart"/>
      <w:r w:rsidRPr="00AC5D57">
        <w:rPr>
          <w:rFonts w:ascii="Times New Roman" w:hAnsi="Times New Roman" w:cs="Times New Roman"/>
          <w:sz w:val="24"/>
          <w:szCs w:val="24"/>
        </w:rPr>
        <w:t>módosítjá</w:t>
      </w:r>
      <w:proofErr w:type="spellEnd"/>
      <w:r w:rsidRPr="00AC5D57">
        <w:rPr>
          <w:rFonts w:ascii="Times New Roman" w:hAnsi="Times New Roman" w:cs="Times New Roman"/>
          <w:sz w:val="24"/>
          <w:szCs w:val="24"/>
        </w:rPr>
        <w:t>(k) szignifikánsan a szerződéses cash flow-kat</w:t>
      </w:r>
      <w:r w:rsidR="00821508">
        <w:rPr>
          <w:rFonts w:ascii="Times New Roman" w:hAnsi="Times New Roman" w:cs="Times New Roman"/>
          <w:sz w:val="24"/>
          <w:szCs w:val="24"/>
        </w:rPr>
        <w:t>, vagy</w:t>
      </w:r>
    </w:p>
    <w:p w:rsidR="00FF0C9A" w:rsidRPr="00AC5D57" w:rsidRDefault="00FF0C9A" w:rsidP="00174EBB">
      <w:pPr>
        <w:pStyle w:val="Listaszerbekezds"/>
        <w:numPr>
          <w:ilvl w:val="0"/>
          <w:numId w:val="24"/>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csekély elemzéssel vagy </w:t>
      </w:r>
      <w:proofErr w:type="gramStart"/>
      <w:r w:rsidRPr="00AC5D57">
        <w:rPr>
          <w:rFonts w:ascii="Times New Roman" w:hAnsi="Times New Roman" w:cs="Times New Roman"/>
          <w:sz w:val="24"/>
          <w:szCs w:val="24"/>
        </w:rPr>
        <w:t>anélkül</w:t>
      </w:r>
      <w:proofErr w:type="gramEnd"/>
      <w:r w:rsidRPr="00AC5D57">
        <w:rPr>
          <w:rFonts w:ascii="Times New Roman" w:hAnsi="Times New Roman" w:cs="Times New Roman"/>
          <w:sz w:val="24"/>
          <w:szCs w:val="24"/>
        </w:rPr>
        <w:t xml:space="preserve"> is nyilvánvaló, hogy a beágyazott </w:t>
      </w:r>
      <w:proofErr w:type="spellStart"/>
      <w:r w:rsidRPr="00AC5D57">
        <w:rPr>
          <w:rFonts w:ascii="Times New Roman" w:hAnsi="Times New Roman" w:cs="Times New Roman"/>
          <w:sz w:val="24"/>
          <w:szCs w:val="24"/>
        </w:rPr>
        <w:t>derivatíva</w:t>
      </w:r>
      <w:proofErr w:type="spellEnd"/>
      <w:r w:rsidRPr="00AC5D57">
        <w:rPr>
          <w:rFonts w:ascii="Times New Roman" w:hAnsi="Times New Roman" w:cs="Times New Roman"/>
          <w:sz w:val="24"/>
          <w:szCs w:val="24"/>
        </w:rPr>
        <w:t xml:space="preserve"> nem lenne leválasztható egy hasonló hibrid instrumentumról.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Ha egy hibrid szerződésbe több különböző </w:t>
      </w:r>
      <w:proofErr w:type="spellStart"/>
      <w:r w:rsidRPr="00AC5D57">
        <w:rPr>
          <w:rFonts w:ascii="Times New Roman" w:hAnsi="Times New Roman" w:cs="Times New Roman"/>
          <w:sz w:val="24"/>
          <w:szCs w:val="24"/>
        </w:rPr>
        <w:t>derivatíva</w:t>
      </w:r>
      <w:proofErr w:type="spellEnd"/>
      <w:r w:rsidRPr="00AC5D57">
        <w:rPr>
          <w:rFonts w:ascii="Times New Roman" w:hAnsi="Times New Roman" w:cs="Times New Roman"/>
          <w:sz w:val="24"/>
          <w:szCs w:val="24"/>
        </w:rPr>
        <w:t xml:space="preserve"> is be van egyszerre ágyazva, akkor a származékos ügyleteket általában egyetlen összetett </w:t>
      </w:r>
      <w:proofErr w:type="spellStart"/>
      <w:r w:rsidRPr="00AC5D57">
        <w:rPr>
          <w:rFonts w:ascii="Times New Roman" w:hAnsi="Times New Roman" w:cs="Times New Roman"/>
          <w:sz w:val="24"/>
          <w:szCs w:val="24"/>
        </w:rPr>
        <w:t>derivatívaként</w:t>
      </w:r>
      <w:proofErr w:type="spellEnd"/>
      <w:r w:rsidRPr="00AC5D57">
        <w:rPr>
          <w:rFonts w:ascii="Times New Roman" w:hAnsi="Times New Roman" w:cs="Times New Roman"/>
          <w:sz w:val="24"/>
          <w:szCs w:val="24"/>
        </w:rPr>
        <w:t xml:space="preserve"> kell kezelni. Azonban elkülönítetten kell kezelni azokat a beágyazott </w:t>
      </w:r>
      <w:proofErr w:type="spellStart"/>
      <w:r w:rsidRPr="00AC5D57">
        <w:rPr>
          <w:rFonts w:ascii="Times New Roman" w:hAnsi="Times New Roman" w:cs="Times New Roman"/>
          <w:sz w:val="24"/>
          <w:szCs w:val="24"/>
        </w:rPr>
        <w:t>derivatívákat</w:t>
      </w:r>
      <w:proofErr w:type="spellEnd"/>
      <w:r w:rsidRPr="00AC5D57">
        <w:rPr>
          <w:rFonts w:ascii="Times New Roman" w:hAnsi="Times New Roman" w:cs="Times New Roman"/>
          <w:sz w:val="24"/>
          <w:szCs w:val="24"/>
        </w:rPr>
        <w:t>:</w:t>
      </w:r>
    </w:p>
    <w:p w:rsidR="00FF0C9A" w:rsidRPr="00AC5D57" w:rsidRDefault="00FF0C9A" w:rsidP="00174EBB">
      <w:pPr>
        <w:pStyle w:val="Listaszerbekezds"/>
        <w:numPr>
          <w:ilvl w:val="0"/>
          <w:numId w:val="2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 eszközként vagy kötelezettségként osztályozott </w:t>
      </w:r>
      <w:proofErr w:type="spellStart"/>
      <w:r w:rsidRPr="00AC5D57">
        <w:rPr>
          <w:rFonts w:ascii="Times New Roman" w:hAnsi="Times New Roman" w:cs="Times New Roman"/>
          <w:sz w:val="24"/>
          <w:szCs w:val="24"/>
        </w:rPr>
        <w:t>derivatíváktól</w:t>
      </w:r>
      <w:proofErr w:type="spellEnd"/>
      <w:r w:rsidRPr="00AC5D57">
        <w:rPr>
          <w:rFonts w:ascii="Times New Roman" w:hAnsi="Times New Roman" w:cs="Times New Roman"/>
          <w:sz w:val="24"/>
          <w:szCs w:val="24"/>
        </w:rPr>
        <w:t xml:space="preserve">), amelyek az IAS 32 standard értelmében tőkeinstrumentumok </w:t>
      </w:r>
    </w:p>
    <w:p w:rsidR="00FF0C9A" w:rsidRPr="00AC5D57" w:rsidRDefault="00FF0C9A" w:rsidP="00174EBB">
      <w:pPr>
        <w:pStyle w:val="Listaszerbekezds"/>
        <w:numPr>
          <w:ilvl w:val="0"/>
          <w:numId w:val="24"/>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amelyek különböző kockázati kitettségekhez kapcsolódnak, bármikor leválaszthatóak és függetlenek egymástól.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w:t>
      </w:r>
      <w:r w:rsidRPr="00AC5D57">
        <w:rPr>
          <w:rFonts w:ascii="Times New Roman" w:hAnsi="Times New Roman" w:cs="Times New Roman"/>
          <w:b/>
          <w:sz w:val="24"/>
          <w:szCs w:val="24"/>
        </w:rPr>
        <w:t>pénzügyi kötelezettségek</w:t>
      </w:r>
      <w:r w:rsidRPr="00AC5D57">
        <w:rPr>
          <w:rFonts w:ascii="Times New Roman" w:hAnsi="Times New Roman" w:cs="Times New Roman"/>
          <w:sz w:val="24"/>
          <w:szCs w:val="24"/>
        </w:rPr>
        <w:t xml:space="preserve"> IFRS 9 standard szerinti teljes besorolását </w:t>
      </w:r>
      <w:r>
        <w:rPr>
          <w:rFonts w:ascii="Times New Roman" w:hAnsi="Times New Roman" w:cs="Times New Roman"/>
          <w:sz w:val="24"/>
          <w:szCs w:val="24"/>
        </w:rPr>
        <w:t xml:space="preserve">a </w:t>
      </w:r>
      <w:r w:rsidR="00821508">
        <w:rPr>
          <w:rFonts w:ascii="Times New Roman" w:hAnsi="Times New Roman" w:cs="Times New Roman"/>
          <w:sz w:val="24"/>
          <w:szCs w:val="24"/>
        </w:rPr>
        <w:t>következő ábra foglalja össze (5</w:t>
      </w:r>
      <w:r>
        <w:rPr>
          <w:rFonts w:ascii="Times New Roman" w:hAnsi="Times New Roman" w:cs="Times New Roman"/>
          <w:sz w:val="24"/>
          <w:szCs w:val="24"/>
        </w:rPr>
        <w:t>.</w:t>
      </w:r>
      <w:r w:rsidR="00821508">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AC5D57" w:rsidRDefault="00FF0C9A" w:rsidP="00FF0C9A">
      <w:pPr>
        <w:autoSpaceDE w:val="0"/>
        <w:autoSpaceDN w:val="0"/>
        <w:adjustRightInd w:val="0"/>
        <w:spacing w:after="0" w:line="360" w:lineRule="auto"/>
        <w:jc w:val="both"/>
        <w:rPr>
          <w:rFonts w:ascii="Times New Roman" w:hAnsi="Times New Roman" w:cs="Times New Roman"/>
          <w:sz w:val="24"/>
          <w:szCs w:val="24"/>
        </w:rPr>
      </w:pPr>
      <w:r w:rsidRPr="00AC5D57">
        <w:rPr>
          <w:rFonts w:ascii="Times New Roman" w:hAnsi="Times New Roman" w:cs="Times New Roman"/>
          <w:noProof/>
          <w:sz w:val="24"/>
          <w:szCs w:val="24"/>
          <w:lang w:eastAsia="hu-HU"/>
        </w:rPr>
        <w:drawing>
          <wp:inline distT="0" distB="0" distL="0" distR="0">
            <wp:extent cx="5762625" cy="5334000"/>
            <wp:effectExtent l="0" t="0" r="0" b="0"/>
            <wp:docPr id="18" name="Objektum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2928" cy="5883170"/>
                      <a:chOff x="323528" y="332656"/>
                      <a:chExt cx="8352928" cy="5883170"/>
                    </a:xfrm>
                  </a:grpSpPr>
                  <a:sp>
                    <a:nvSpPr>
                      <a:cNvPr id="4" name="Lekerekített téglalap 3"/>
                      <a:cNvSpPr/>
                    </a:nvSpPr>
                    <a:spPr>
                      <a:xfrm>
                        <a:off x="395536" y="332656"/>
                        <a:ext cx="3168352" cy="720080"/>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Származékos ügylet vagy kereskedési célú pénzügyi kötelezettség?</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Lekerekített téglalap 6"/>
                      <a:cNvSpPr/>
                    </a:nvSpPr>
                    <a:spPr>
                      <a:xfrm>
                        <a:off x="395536" y="5517232"/>
                        <a:ext cx="1944216" cy="648072"/>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Amortizált bekerülési értéken</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Lekerekített téglalap 8"/>
                      <a:cNvSpPr/>
                    </a:nvSpPr>
                    <a:spPr>
                      <a:xfrm>
                        <a:off x="395536" y="1628800"/>
                        <a:ext cx="3168352" cy="720080"/>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Valós érték opcióval élt a gazdálkodó egység?</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Lekerekített téglalap 9"/>
                      <a:cNvSpPr/>
                    </a:nvSpPr>
                    <a:spPr>
                      <a:xfrm>
                        <a:off x="395536" y="2924944"/>
                        <a:ext cx="3168352" cy="720080"/>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Tartalmaz egy leválasztható beágyazott </a:t>
                          </a:r>
                          <a:r>
                            <a:rPr lang="hu-HU" sz="1600" b="1" dirty="0" err="1" smtClean="0">
                              <a:solidFill>
                                <a:schemeClr val="tx1"/>
                              </a:solidFill>
                            </a:rPr>
                            <a:t>derivatívát</a:t>
                          </a:r>
                          <a:r>
                            <a:rPr lang="hu-HU" sz="1600" b="1" dirty="0" smtClean="0">
                              <a:solidFill>
                                <a:schemeClr val="tx1"/>
                              </a:solidFill>
                            </a:rPr>
                            <a:t>?</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Lekerekített téglalap 10"/>
                      <a:cNvSpPr/>
                    </a:nvSpPr>
                    <a:spPr>
                      <a:xfrm>
                        <a:off x="7740352" y="476672"/>
                        <a:ext cx="936104" cy="2160240"/>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FVTPL</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Lekerekített téglalap 11"/>
                      <a:cNvSpPr/>
                    </a:nvSpPr>
                    <a:spPr>
                      <a:xfrm>
                        <a:off x="7740352" y="2780928"/>
                        <a:ext cx="936104" cy="1440160"/>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FVTOCI</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Ellipszis 12"/>
                      <a:cNvSpPr/>
                    </a:nvSpPr>
                    <a:spPr>
                      <a:xfrm>
                        <a:off x="1259632" y="4005064"/>
                        <a:ext cx="2088232" cy="1152128"/>
                      </a:xfrm>
                      <a:prstGeom prst="ellipse">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Alapszerződés és a </a:t>
                          </a:r>
                          <a:r>
                            <a:rPr lang="hu-HU" sz="1600" b="1" dirty="0" err="1" smtClean="0">
                              <a:solidFill>
                                <a:schemeClr val="tx1"/>
                              </a:solidFill>
                            </a:rPr>
                            <a:t>derivatíva</a:t>
                          </a:r>
                          <a:r>
                            <a:rPr lang="hu-HU" sz="1600" b="1" dirty="0" smtClean="0">
                              <a:solidFill>
                                <a:schemeClr val="tx1"/>
                              </a:solidFill>
                            </a:rPr>
                            <a:t> szétválasztása</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Lekerekített téglalap 13"/>
                      <a:cNvSpPr/>
                    </a:nvSpPr>
                    <a:spPr>
                      <a:xfrm>
                        <a:off x="4427984" y="1124744"/>
                        <a:ext cx="1224136" cy="2592288"/>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Okoz-e a hitelezési kockázatból eredő változás külön bemutatása számviteli inkonzisztenciát?</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Egyenes összekötő nyíllal 15"/>
                      <a:cNvCxnSpPr>
                        <a:stCxn id="4" idx="2"/>
                      </a:cNvCxnSpPr>
                    </a:nvCxnSpPr>
                    <a:spPr>
                      <a:xfrm>
                        <a:off x="1979712" y="1052736"/>
                        <a:ext cx="0" cy="57606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Egyenes összekötő nyíllal 16"/>
                      <a:cNvCxnSpPr>
                        <a:stCxn id="9" idx="2"/>
                      </a:cNvCxnSpPr>
                    </a:nvCxnSpPr>
                    <a:spPr>
                      <a:xfrm>
                        <a:off x="1979712" y="2348880"/>
                        <a:ext cx="0" cy="57606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Egyenes összekötő nyíllal 21"/>
                      <a:cNvCxnSpPr/>
                    </a:nvCxnSpPr>
                    <a:spPr>
                      <a:xfrm>
                        <a:off x="899592" y="3645024"/>
                        <a:ext cx="0" cy="187220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Egyenes összekötő nyíllal 23"/>
                      <a:cNvCxnSpPr>
                        <a:endCxn id="13" idx="0"/>
                      </a:cNvCxnSpPr>
                    </a:nvCxnSpPr>
                    <a:spPr>
                      <a:xfrm>
                        <a:off x="1691680" y="3645024"/>
                        <a:ext cx="612068" cy="36004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0" name="Egyenes összekötő nyíllal 59"/>
                      <a:cNvCxnSpPr>
                        <a:stCxn id="4" idx="3"/>
                      </a:cNvCxnSpPr>
                    </a:nvCxnSpPr>
                    <a:spPr>
                      <a:xfrm>
                        <a:off x="3563888" y="692696"/>
                        <a:ext cx="4176464" cy="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2" name="Egyenes összekötő nyíllal 61"/>
                      <a:cNvCxnSpPr>
                        <a:endCxn id="11" idx="1"/>
                      </a:cNvCxnSpPr>
                    </a:nvCxnSpPr>
                    <a:spPr>
                      <a:xfrm>
                        <a:off x="5652120" y="1556792"/>
                        <a:ext cx="2088232" cy="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5" name="Egyenes összekötő 64"/>
                      <a:cNvCxnSpPr/>
                    </a:nvCxnSpPr>
                    <a:spPr>
                      <a:xfrm>
                        <a:off x="5652120" y="3068960"/>
                        <a:ext cx="792088" cy="0"/>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7" name="Egyenes összekötő nyíllal 66"/>
                      <a:cNvCxnSpPr/>
                    </a:nvCxnSpPr>
                    <a:spPr>
                      <a:xfrm flipV="1">
                        <a:off x="6444208" y="2276872"/>
                        <a:ext cx="1296144" cy="7920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9" name="Egyenes összekötő nyíllal 68"/>
                      <a:cNvCxnSpPr/>
                    </a:nvCxnSpPr>
                    <a:spPr>
                      <a:xfrm>
                        <a:off x="6444208" y="3068960"/>
                        <a:ext cx="1296144" cy="72008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2" name="Szövegdoboz 71"/>
                      <a:cNvSpPr txBox="1"/>
                    </a:nvSpPr>
                    <a:spPr>
                      <a:xfrm>
                        <a:off x="5220072" y="5877272"/>
                        <a:ext cx="2850396"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Valós értéken történő értékelés</a:t>
                          </a:r>
                          <a:endParaRPr lang="hu-HU" sz="1600" b="1" dirty="0"/>
                        </a:p>
                      </a:txBody>
                      <a:useSpRect/>
                    </a:txSp>
                  </a:sp>
                  <a:sp>
                    <a:nvSpPr>
                      <a:cNvPr id="73" name="Szövegdoboz 72"/>
                      <a:cNvSpPr txBox="1"/>
                    </a:nvSpPr>
                    <a:spPr>
                      <a:xfrm>
                        <a:off x="3707904" y="332656"/>
                        <a:ext cx="547971"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74" name="Szövegdoboz 73"/>
                      <a:cNvSpPr txBox="1"/>
                    </a:nvSpPr>
                    <a:spPr>
                      <a:xfrm>
                        <a:off x="5364088" y="404664"/>
                        <a:ext cx="1633268" cy="307777"/>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Minden FV változás</a:t>
                          </a:r>
                          <a:endParaRPr lang="hu-HU" sz="1400" b="1" dirty="0"/>
                        </a:p>
                      </a:txBody>
                      <a:useSpRect/>
                    </a:txSp>
                  </a:sp>
                  <a:sp>
                    <a:nvSpPr>
                      <a:cNvPr id="78" name="Szövegdoboz 77"/>
                      <a:cNvSpPr txBox="1"/>
                    </a:nvSpPr>
                    <a:spPr>
                      <a:xfrm>
                        <a:off x="5652120" y="1556792"/>
                        <a:ext cx="547971"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79" name="Szövegdoboz 78"/>
                      <a:cNvSpPr txBox="1"/>
                    </a:nvSpPr>
                    <a:spPr>
                      <a:xfrm>
                        <a:off x="5940152" y="1268760"/>
                        <a:ext cx="1633268" cy="307777"/>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Minden FV változás</a:t>
                          </a:r>
                          <a:endParaRPr lang="hu-HU" sz="1400" b="1" dirty="0"/>
                        </a:p>
                      </a:txBody>
                      <a:useSpRect/>
                    </a:txSp>
                  </a:sp>
                  <a:sp>
                    <a:nvSpPr>
                      <a:cNvPr id="83" name="Szövegdoboz 82"/>
                      <a:cNvSpPr txBox="1"/>
                    </a:nvSpPr>
                    <a:spPr>
                      <a:xfrm>
                        <a:off x="5652120" y="2708920"/>
                        <a:ext cx="588623"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84" name="Szövegdoboz 83"/>
                      <a:cNvSpPr txBox="1"/>
                    </a:nvSpPr>
                    <a:spPr>
                      <a:xfrm rot="1653271">
                        <a:off x="6115607" y="3472078"/>
                        <a:ext cx="1759649" cy="276999"/>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200" b="1" dirty="0" smtClean="0"/>
                            <a:t>Credit </a:t>
                          </a:r>
                          <a:r>
                            <a:rPr lang="hu-HU" sz="1200" b="1" dirty="0" err="1" smtClean="0"/>
                            <a:t>risk</a:t>
                          </a:r>
                          <a:r>
                            <a:rPr lang="hu-HU" sz="1200" b="1" dirty="0" smtClean="0"/>
                            <a:t> miatti FV vált.</a:t>
                          </a:r>
                          <a:endParaRPr lang="hu-HU" sz="1200" b="1" dirty="0"/>
                        </a:p>
                      </a:txBody>
                      <a:useSpRect/>
                    </a:txSp>
                  </a:sp>
                  <a:sp>
                    <a:nvSpPr>
                      <a:cNvPr id="92" name="Szövegdoboz 91"/>
                      <a:cNvSpPr txBox="1"/>
                    </a:nvSpPr>
                    <a:spPr>
                      <a:xfrm rot="19821885">
                        <a:off x="6469465" y="2308554"/>
                        <a:ext cx="1309013" cy="276999"/>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200" b="1" dirty="0" smtClean="0"/>
                            <a:t>Egyéb FV változás</a:t>
                          </a:r>
                          <a:endParaRPr lang="hu-HU" sz="1200" b="1" dirty="0"/>
                        </a:p>
                      </a:txBody>
                      <a:useSpRect/>
                    </a:txSp>
                  </a:sp>
                  <a:sp>
                    <a:nvSpPr>
                      <a:cNvPr id="96" name="Szövegdoboz 95"/>
                      <a:cNvSpPr txBox="1"/>
                    </a:nvSpPr>
                    <a:spPr>
                      <a:xfrm>
                        <a:off x="1979712" y="1124744"/>
                        <a:ext cx="588623"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97" name="Szövegdoboz 96"/>
                      <a:cNvSpPr txBox="1"/>
                    </a:nvSpPr>
                    <a:spPr>
                      <a:xfrm>
                        <a:off x="1979712" y="2492896"/>
                        <a:ext cx="588623"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cxnSp>
                    <a:nvCxnSpPr>
                      <a:cNvPr id="99" name="Egyenes összekötő nyíllal 98"/>
                      <a:cNvCxnSpPr>
                        <a:stCxn id="9" idx="3"/>
                      </a:cNvCxnSpPr>
                    </a:nvCxnSpPr>
                    <a:spPr>
                      <a:xfrm>
                        <a:off x="3563888" y="1988840"/>
                        <a:ext cx="864096" cy="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0" name="Szövegdoboz 99"/>
                      <a:cNvSpPr txBox="1"/>
                    </a:nvSpPr>
                    <a:spPr>
                      <a:xfrm>
                        <a:off x="3707904" y="1628800"/>
                        <a:ext cx="547971"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102" name="Lekerekített téglalap 101"/>
                      <a:cNvSpPr/>
                    </a:nvSpPr>
                    <a:spPr>
                      <a:xfrm>
                        <a:off x="7740352" y="4797152"/>
                        <a:ext cx="936104" cy="792088"/>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FVTPL</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6" name="Egyenes összekötő nyíllal 105"/>
                      <a:cNvCxnSpPr>
                        <a:stCxn id="13" idx="4"/>
                      </a:cNvCxnSpPr>
                    </a:nvCxnSpPr>
                    <a:spPr>
                      <a:xfrm flipH="1">
                        <a:off x="1835696" y="5157192"/>
                        <a:ext cx="468052" cy="36004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8" name="Egyenes összekötő nyíllal 107"/>
                      <a:cNvCxnSpPr>
                        <a:stCxn id="13" idx="5"/>
                      </a:cNvCxnSpPr>
                    </a:nvCxnSpPr>
                    <a:spPr>
                      <a:xfrm>
                        <a:off x="3042049" y="4988467"/>
                        <a:ext cx="4698303" cy="24709"/>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4" name="Szövegdoboz 123"/>
                      <a:cNvSpPr txBox="1"/>
                    </a:nvSpPr>
                    <a:spPr>
                      <a:xfrm>
                        <a:off x="3347864" y="4653136"/>
                        <a:ext cx="943976" cy="307777"/>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err="1" smtClean="0"/>
                            <a:t>Derivatíva</a:t>
                          </a:r>
                          <a:endParaRPr lang="hu-HU" sz="1400" b="1" dirty="0"/>
                        </a:p>
                      </a:txBody>
                      <a:useSpRect/>
                    </a:txSp>
                  </a:sp>
                  <a:sp>
                    <a:nvSpPr>
                      <a:cNvPr id="127" name="Szövegdoboz 126"/>
                      <a:cNvSpPr txBox="1"/>
                    </a:nvSpPr>
                    <a:spPr>
                      <a:xfrm>
                        <a:off x="2051720" y="5229200"/>
                        <a:ext cx="1238801" cy="307777"/>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Alapszerződés</a:t>
                          </a:r>
                          <a:endParaRPr lang="hu-HU" sz="1400" b="1" dirty="0"/>
                        </a:p>
                      </a:txBody>
                      <a:useSpRect/>
                    </a:txSp>
                  </a:sp>
                  <a:sp>
                    <a:nvSpPr>
                      <a:cNvPr id="135" name="Szövegdoboz 134"/>
                      <a:cNvSpPr txBox="1"/>
                    </a:nvSpPr>
                    <a:spPr>
                      <a:xfrm>
                        <a:off x="5724128" y="4653136"/>
                        <a:ext cx="1633268" cy="307777"/>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Minden FV változás</a:t>
                          </a:r>
                          <a:endParaRPr lang="hu-HU" sz="1400" b="1" dirty="0"/>
                        </a:p>
                      </a:txBody>
                      <a:useSpRect/>
                    </a:txSp>
                  </a:sp>
                  <a:sp>
                    <a:nvSpPr>
                      <a:cNvPr id="145" name="Szövegdoboz 144"/>
                      <a:cNvSpPr txBox="1"/>
                    </a:nvSpPr>
                    <a:spPr>
                      <a:xfrm>
                        <a:off x="2267744" y="3645024"/>
                        <a:ext cx="547971"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150" name="Szövegdoboz 149"/>
                      <a:cNvSpPr txBox="1"/>
                    </a:nvSpPr>
                    <a:spPr>
                      <a:xfrm>
                        <a:off x="323528" y="3789040"/>
                        <a:ext cx="588623"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cxnSp>
                    <a:nvCxnSpPr>
                      <a:cNvPr id="44" name="Egyenes összekötő 43"/>
                      <a:cNvCxnSpPr/>
                    </a:nvCxnSpPr>
                    <a:spPr>
                      <a:xfrm>
                        <a:off x="4283968" y="332656"/>
                        <a:ext cx="0" cy="5544616"/>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46" name="Egyenes összekötő 45"/>
                      <a:cNvCxnSpPr/>
                    </a:nvCxnSpPr>
                    <a:spPr>
                      <a:xfrm>
                        <a:off x="4283968" y="332656"/>
                        <a:ext cx="4464496"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50" name="Egyenes összekötő 49"/>
                      <a:cNvCxnSpPr/>
                    </a:nvCxnSpPr>
                    <a:spPr>
                      <a:xfrm>
                        <a:off x="4283968" y="5877272"/>
                        <a:ext cx="4464496"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51" name="Egyenes összekötő 50"/>
                      <a:cNvCxnSpPr/>
                    </a:nvCxnSpPr>
                    <a:spPr>
                      <a:xfrm>
                        <a:off x="8748464" y="332656"/>
                        <a:ext cx="0" cy="5544616"/>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F0C9A" w:rsidRPr="00AC5D57" w:rsidRDefault="00FF0C9A" w:rsidP="00FF0C9A">
      <w:pPr>
        <w:autoSpaceDE w:val="0"/>
        <w:autoSpaceDN w:val="0"/>
        <w:adjustRightInd w:val="0"/>
        <w:spacing w:after="24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AE388D">
        <w:rPr>
          <w:rFonts w:ascii="Times New Roman" w:hAnsi="Times New Roman" w:cs="Times New Roman"/>
          <w:sz w:val="20"/>
          <w:szCs w:val="20"/>
        </w:rPr>
        <w:t>http://www.kpmg.com/Global/en/IssuesAndInsights/ArticlesPublications/first-impressions/Documents/</w:t>
      </w:r>
      <w:r>
        <w:rPr>
          <w:rFonts w:ascii="Times New Roman" w:hAnsi="Times New Roman" w:cs="Times New Roman"/>
          <w:sz w:val="20"/>
          <w:szCs w:val="20"/>
        </w:rPr>
        <w:t xml:space="preserve"> </w:t>
      </w:r>
      <w:r w:rsidRPr="00AE388D">
        <w:rPr>
          <w:rFonts w:ascii="Times New Roman" w:hAnsi="Times New Roman" w:cs="Times New Roman"/>
          <w:sz w:val="20"/>
          <w:szCs w:val="20"/>
        </w:rPr>
        <w:t>first-impressions-IFRS9.pdf</w:t>
      </w:r>
      <w:r>
        <w:rPr>
          <w:rFonts w:ascii="Times New Roman" w:hAnsi="Times New Roman" w:cs="Times New Roman"/>
          <w:sz w:val="20"/>
          <w:szCs w:val="20"/>
        </w:rPr>
        <w:t>, 6.1.</w:t>
      </w:r>
      <w:r w:rsidRPr="00AC5D57">
        <w:rPr>
          <w:rFonts w:ascii="Times New Roman" w:hAnsi="Times New Roman" w:cs="Times New Roman"/>
          <w:sz w:val="20"/>
          <w:szCs w:val="20"/>
        </w:rPr>
        <w:br w:type="page"/>
      </w:r>
    </w:p>
    <w:p w:rsidR="00FF0C9A" w:rsidRPr="00AC5D57" w:rsidRDefault="00FF0C9A" w:rsidP="00FF0C9A">
      <w:pPr>
        <w:pStyle w:val="Cmsor3"/>
      </w:pPr>
      <w:bookmarkStart w:id="10" w:name="_Toc434181024"/>
      <w:bookmarkStart w:id="11" w:name="_Toc434689796"/>
      <w:r w:rsidRPr="00AC5D57">
        <w:t>Átsorolások</w:t>
      </w:r>
      <w:bookmarkEnd w:id="10"/>
      <w:bookmarkEnd w:id="11"/>
    </w:p>
    <w:p w:rsidR="00821508" w:rsidRDefault="00821508" w:rsidP="00821508">
      <w:pPr>
        <w:autoSpaceDE w:val="0"/>
        <w:autoSpaceDN w:val="0"/>
        <w:adjustRightInd w:val="0"/>
        <w:spacing w:after="120" w:line="24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Pénzügyi </w:t>
      </w:r>
      <w:r w:rsidRPr="00323F05">
        <w:rPr>
          <w:rFonts w:ascii="Times New Roman" w:hAnsi="Times New Roman" w:cs="Times New Roman"/>
          <w:b/>
          <w:sz w:val="24"/>
          <w:szCs w:val="24"/>
        </w:rPr>
        <w:t>kötelezettségek</w:t>
      </w:r>
      <w:r w:rsidRPr="00AC5D57">
        <w:rPr>
          <w:rFonts w:ascii="Times New Roman" w:hAnsi="Times New Roman" w:cs="Times New Roman"/>
          <w:sz w:val="24"/>
          <w:szCs w:val="24"/>
        </w:rPr>
        <w:t xml:space="preserve"> átsorolását </w:t>
      </w:r>
      <w:r w:rsidRPr="00323F05">
        <w:rPr>
          <w:rFonts w:ascii="Times New Roman" w:hAnsi="Times New Roman" w:cs="Times New Roman"/>
          <w:b/>
          <w:sz w:val="24"/>
          <w:szCs w:val="24"/>
        </w:rPr>
        <w:t xml:space="preserve">nem </w:t>
      </w:r>
      <w:r w:rsidRPr="00323F05">
        <w:rPr>
          <w:rFonts w:ascii="Times New Roman" w:hAnsi="Times New Roman" w:cs="Times New Roman"/>
          <w:sz w:val="24"/>
          <w:szCs w:val="24"/>
        </w:rPr>
        <w:t xml:space="preserve">engedélyezi </w:t>
      </w:r>
      <w:r w:rsidRPr="00AC5D57">
        <w:rPr>
          <w:rFonts w:ascii="Times New Roman" w:hAnsi="Times New Roman" w:cs="Times New Roman"/>
          <w:sz w:val="24"/>
          <w:szCs w:val="24"/>
        </w:rPr>
        <w:t>az IFRS 9.</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Pénzügyi </w:t>
      </w:r>
      <w:r w:rsidRPr="00323F05">
        <w:rPr>
          <w:rFonts w:ascii="Times New Roman" w:hAnsi="Times New Roman" w:cs="Times New Roman"/>
          <w:b/>
          <w:sz w:val="24"/>
          <w:szCs w:val="24"/>
        </w:rPr>
        <w:t>eszközök</w:t>
      </w:r>
      <w:r w:rsidRPr="00AC5D57">
        <w:rPr>
          <w:rFonts w:ascii="Times New Roman" w:hAnsi="Times New Roman" w:cs="Times New Roman"/>
          <w:sz w:val="24"/>
          <w:szCs w:val="24"/>
        </w:rPr>
        <w:t xml:space="preserve"> átsorolása akkor és csak akkor lehetséges, ha az adott pénzügyi eszközre vonatkozó </w:t>
      </w:r>
      <w:r w:rsidRPr="00323F05">
        <w:rPr>
          <w:rFonts w:ascii="Times New Roman" w:hAnsi="Times New Roman" w:cs="Times New Roman"/>
          <w:b/>
          <w:sz w:val="24"/>
          <w:szCs w:val="24"/>
        </w:rPr>
        <w:t>üzleti modell célja megváltozik</w:t>
      </w:r>
      <w:r w:rsidRPr="00AC5D57">
        <w:rPr>
          <w:rFonts w:ascii="Times New Roman" w:hAnsi="Times New Roman" w:cs="Times New Roman"/>
          <w:sz w:val="24"/>
          <w:szCs w:val="24"/>
        </w:rPr>
        <w:t xml:space="preserve"> a gazdálkodó egységnél. Az átsorolás hatására megváltozik az pénzügyi eszköz értékelésének módja, amiből egyenesen következik, hogy kizárólag hitelviszonyt megtestesítő eszközök átsorolása lehetséges, más eszközöké nem.</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Gyakorlatilag az minősül az üzleti modell céljának megváltozásának egy gazdálkodó egységnél, amikor a gazdálkodó egység megkezdi vagy megszünteti egy olyan tevékenység végzését, amely a működése szempontjából jelentős. Az IFRS 9 megjegyzi továbbá, hogy várhatóan ezek a változások nagyon ritkák lesznek a gazdálkodó egységek életében.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üzleti modell megváltozására a következő példákat említi a standard:</w:t>
      </w:r>
    </w:p>
    <w:p w:rsidR="00FF0C9A" w:rsidRPr="00AC5D57" w:rsidRDefault="00FF0C9A" w:rsidP="00174EBB">
      <w:pPr>
        <w:pStyle w:val="Listaszerbekezds"/>
        <w:numPr>
          <w:ilvl w:val="0"/>
          <w:numId w:val="2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gazdálkodó egység rendelkezik egy olyan portfólióval, amely (rövidtávon) értékesítésre szánt kereskedelmi hitelekből áll. A gazdálkodó egység megszerez egy olyan céget, amely kereskedelmi hitelek kezelésével foglalkozik, és az üzleti modelljük célja az ezekből származó szerződéses cash flow-k beszedése. Az említett portfólió a továbbiakban az újonnan megszerzett kereskedelmi hitelekkel együtt van kezelve, azaz szerződéses cash flow-k beszedése </w:t>
      </w:r>
      <w:r w:rsidRPr="00AC5D57">
        <w:rPr>
          <w:rFonts w:ascii="Times New Roman" w:eastAsia="TimesNewRomanPSMT" w:hAnsi="Times New Roman" w:cs="Times New Roman"/>
          <w:sz w:val="24"/>
          <w:szCs w:val="24"/>
        </w:rPr>
        <w:t>–</w:t>
      </w:r>
      <w:r w:rsidRPr="00AC5D57">
        <w:rPr>
          <w:rFonts w:ascii="Times New Roman" w:hAnsi="Times New Roman" w:cs="Times New Roman"/>
          <w:sz w:val="24"/>
          <w:szCs w:val="24"/>
        </w:rPr>
        <w:t xml:space="preserve"> nem pedig értékesítés </w:t>
      </w:r>
      <w:r w:rsidRPr="00AC5D57">
        <w:rPr>
          <w:rFonts w:ascii="Times New Roman" w:eastAsia="TimesNewRomanPSMT" w:hAnsi="Times New Roman" w:cs="Times New Roman"/>
          <w:sz w:val="24"/>
          <w:szCs w:val="24"/>
        </w:rPr>
        <w:t>–</w:t>
      </w:r>
      <w:r w:rsidRPr="00AC5D57">
        <w:rPr>
          <w:rFonts w:ascii="Times New Roman" w:hAnsi="Times New Roman" w:cs="Times New Roman"/>
          <w:sz w:val="24"/>
          <w:szCs w:val="24"/>
        </w:rPr>
        <w:t xml:space="preserve"> céljából tartják.</w:t>
      </w:r>
    </w:p>
    <w:p w:rsidR="00FF0C9A" w:rsidRPr="00AC5D57" w:rsidRDefault="00FF0C9A" w:rsidP="00174EBB">
      <w:pPr>
        <w:pStyle w:val="Listaszerbekezds"/>
        <w:numPr>
          <w:ilvl w:val="0"/>
          <w:numId w:val="26"/>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Egy pénzügyi szolgáltató cég úgy dönt, hogy megszünteti lakossági jelzálog üzletágát. A továbbiakban ez az üzletág nem fogad több üzletet, és a cég aktívan árulja a lakossági jelzálog portfólióját.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következő példák azonban nem minősülnek az üzleti modell megváltozásának a standard alapján:</w:t>
      </w:r>
    </w:p>
    <w:p w:rsidR="00FF0C9A" w:rsidRPr="00AC5D57" w:rsidRDefault="00FF0C9A" w:rsidP="00174EBB">
      <w:pPr>
        <w:pStyle w:val="Listaszerbekezds"/>
        <w:numPr>
          <w:ilvl w:val="0"/>
          <w:numId w:val="2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egy adott egyedi eszközhöz kapcsolódó szándék megváltozása (még a piaci körülmények szignifikáns megváltozása esetén sem)</w:t>
      </w:r>
    </w:p>
    <w:p w:rsidR="00FF0C9A" w:rsidRPr="00AC5D57" w:rsidRDefault="00FF0C9A" w:rsidP="00174EBB">
      <w:pPr>
        <w:pStyle w:val="Listaszerbekezds"/>
        <w:numPr>
          <w:ilvl w:val="0"/>
          <w:numId w:val="2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átmeneti megszűnése a pénzügyi eszközök valamely részpiacának</w:t>
      </w:r>
    </w:p>
    <w:p w:rsidR="00FF0C9A" w:rsidRPr="00AC5D57" w:rsidRDefault="00FF0C9A" w:rsidP="00174EBB">
      <w:pPr>
        <w:pStyle w:val="Listaszerbekezds"/>
        <w:numPr>
          <w:ilvl w:val="0"/>
          <w:numId w:val="27"/>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pénzügyi eszközök áramoltatása a gazdálkodó egység különböző üzleti modellel rendelkező részei között.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átsorolások értékeléséről további részletek az értékelés fejezetben olvashatóak.</w:t>
      </w:r>
    </w:p>
    <w:p w:rsidR="00FF0C9A" w:rsidRPr="00AC5D57" w:rsidRDefault="00FF0C9A" w:rsidP="00FF0C9A">
      <w:pPr>
        <w:pStyle w:val="Cmsor2"/>
      </w:pPr>
      <w:bookmarkStart w:id="12" w:name="_Toc434181025"/>
      <w:bookmarkStart w:id="13" w:name="_Toc434689797"/>
      <w:r w:rsidRPr="00AC5D57">
        <w:t>Értékelés</w:t>
      </w:r>
      <w:bookmarkEnd w:id="12"/>
      <w:bookmarkEnd w:id="13"/>
    </w:p>
    <w:p w:rsidR="00FF0C9A" w:rsidRPr="00AC5D57" w:rsidRDefault="00FF0C9A" w:rsidP="00FF0C9A">
      <w:pPr>
        <w:pStyle w:val="Cmsor3"/>
      </w:pPr>
      <w:bookmarkStart w:id="14" w:name="_Toc434181026"/>
      <w:bookmarkStart w:id="15" w:name="_Toc434689798"/>
      <w:r w:rsidRPr="00AC5D57">
        <w:t>Kezdeti értékelés</w:t>
      </w:r>
      <w:bookmarkEnd w:id="14"/>
      <w:bookmarkEnd w:id="15"/>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pénzügyi instrumentum besorolását követően az első értékelési feladat az instrumentum bekerülési értékének meghatározása.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b/>
          <w:sz w:val="24"/>
          <w:szCs w:val="24"/>
        </w:rPr>
        <w:t>Pénzügyi eszközök</w:t>
      </w:r>
      <w:r w:rsidRPr="00AC5D57">
        <w:rPr>
          <w:rFonts w:ascii="Times New Roman" w:hAnsi="Times New Roman" w:cs="Times New Roman"/>
          <w:sz w:val="24"/>
          <w:szCs w:val="24"/>
        </w:rPr>
        <w:t xml:space="preserve"> bekerülésekor:</w:t>
      </w:r>
    </w:p>
    <w:p w:rsidR="00FF0C9A" w:rsidRPr="00AC5D57" w:rsidRDefault="00FF0C9A" w:rsidP="00174EBB">
      <w:pPr>
        <w:pStyle w:val="Listaszerbekezds"/>
        <w:numPr>
          <w:ilvl w:val="0"/>
          <w:numId w:val="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valós értéken értékelünk</w:t>
      </w:r>
    </w:p>
    <w:p w:rsidR="00FF0C9A" w:rsidRPr="00AC5D57" w:rsidRDefault="00FF0C9A" w:rsidP="00174EBB">
      <w:pPr>
        <w:pStyle w:val="Listaszerbekezds"/>
        <w:numPr>
          <w:ilvl w:val="0"/>
          <w:numId w:val="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megnövelve/csökkentve a közvetlenül kapcsolódó (minket terhelő/nekünk járó) tranzakciós költségek összegével</w:t>
      </w:r>
    </w:p>
    <w:p w:rsidR="00FF0C9A" w:rsidRPr="00AC5D57" w:rsidRDefault="00FF0C9A" w:rsidP="00174EBB">
      <w:pPr>
        <w:pStyle w:val="Listaszerbekezds"/>
        <w:numPr>
          <w:ilvl w:val="1"/>
          <w:numId w:val="3"/>
        </w:numPr>
        <w:autoSpaceDE w:val="0"/>
        <w:autoSpaceDN w:val="0"/>
        <w:adjustRightInd w:val="0"/>
        <w:spacing w:after="240" w:line="360" w:lineRule="auto"/>
        <w:ind w:left="1491"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kivéve: az FVTPL csoportba sorolt eszközöket, amelyeknél ezek a költségek nem változtatják meg a bekerülési értéket (azonnal az eredménnyel szemben számolódnak el).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tranzakciós költségek olyan pótlólagos költségek, amelyek a pénzügyi eszköz megszerzéséhez közvetlenül hozzárendelhetőek. Ilyenek például: közvetítői díjak, kereskedői jutaléko</w:t>
      </w:r>
      <w:r w:rsidR="00626828">
        <w:rPr>
          <w:rFonts w:ascii="Times New Roman" w:hAnsi="Times New Roman" w:cs="Times New Roman"/>
          <w:sz w:val="24"/>
          <w:szCs w:val="24"/>
        </w:rPr>
        <w:t>k, hatósági járulékos költségek</w:t>
      </w:r>
      <w:r w:rsidRPr="00AC5D57">
        <w:rPr>
          <w:rFonts w:ascii="Times New Roman" w:hAnsi="Times New Roman" w:cs="Times New Roman"/>
          <w:sz w:val="24"/>
          <w:szCs w:val="24"/>
        </w:rPr>
        <w:t xml:space="preserve"> stb.</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valós érték legjobb becslése bekerüléskor általános esetben az eszközért fizetett ellenérték, azonban ha a tranzakció nem felel meg a szokásos feltételeknek, akkor az ellenérték kiigazítása szükséges, hogy megkapjuk a tényleges valós értéket.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(„szokásos módon” megszerzett eszközöknél) teljesítési időpont szerinti elszámolás választása esetén, a később amortizált bekerülési értéken értékelendő eszközöket az ügylet kötésének időpontjában érvényes valós értéken kell értékelni.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b/>
          <w:sz w:val="24"/>
          <w:szCs w:val="24"/>
        </w:rPr>
        <w:t>Pénzügyi kötelezettségek</w:t>
      </w:r>
      <w:r w:rsidRPr="00AC5D57">
        <w:rPr>
          <w:rFonts w:ascii="Times New Roman" w:hAnsi="Times New Roman" w:cs="Times New Roman"/>
          <w:sz w:val="24"/>
          <w:szCs w:val="24"/>
        </w:rPr>
        <w:t xml:space="preserve"> bekerülésekor:</w:t>
      </w:r>
    </w:p>
    <w:p w:rsidR="00FF0C9A" w:rsidRPr="00AC5D57" w:rsidRDefault="00FF0C9A" w:rsidP="00174EBB">
      <w:pPr>
        <w:pStyle w:val="Listaszerbekezds"/>
        <w:numPr>
          <w:ilvl w:val="0"/>
          <w:numId w:val="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valós értéken értékelünk</w:t>
      </w:r>
    </w:p>
    <w:p w:rsidR="00FF0C9A" w:rsidRPr="00AC5D57" w:rsidRDefault="00FF0C9A" w:rsidP="00174EBB">
      <w:pPr>
        <w:pStyle w:val="Listaszerbekezds"/>
        <w:numPr>
          <w:ilvl w:val="0"/>
          <w:numId w:val="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csökkentve/megnövelve a közvetlenül kapcsolódó (minket terhelő/nekünk járó) tranzakciós költségek összegével</w:t>
      </w:r>
    </w:p>
    <w:p w:rsidR="00FF0C9A" w:rsidRPr="00AC5D57" w:rsidRDefault="00FF0C9A" w:rsidP="00174EBB">
      <w:pPr>
        <w:pStyle w:val="Listaszerbekezds"/>
        <w:numPr>
          <w:ilvl w:val="1"/>
          <w:numId w:val="4"/>
        </w:numPr>
        <w:autoSpaceDE w:val="0"/>
        <w:autoSpaceDN w:val="0"/>
        <w:adjustRightInd w:val="0"/>
        <w:spacing w:after="240" w:line="360" w:lineRule="auto"/>
        <w:ind w:left="1491"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kivéve: az FVTPL csoportba sorolt kötelezettségeket, amelyeknél ezek a költségek nem változtatják meg a bekerülési értéket (azonnal az eredménnyel szemben számolódnak el).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Tranzakciós költségnek számít minden olyan inkrementális költség, amely nem merülne fel, ha az adott szerződés a felek között nem jönne létre.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pénzügyi kötelezettségeknél – a pénzügyi eszközökhöz hasonlóan – szintén igaz, hogy bekerüléskor általános esetben a valós érték legjobb becslése a ténylegesen kapott ellenérték.</w:t>
      </w:r>
    </w:p>
    <w:p w:rsidR="00FF0C9A" w:rsidRPr="00AC5D57" w:rsidRDefault="00FF0C9A" w:rsidP="00FF0C9A">
      <w:pPr>
        <w:pStyle w:val="Cmsor3"/>
      </w:pPr>
      <w:bookmarkStart w:id="16" w:name="_Toc434181027"/>
      <w:bookmarkStart w:id="17" w:name="_Toc434689799"/>
      <w:r w:rsidRPr="00AC5D57">
        <w:t>Követő értékelés</w:t>
      </w:r>
      <w:bookmarkEnd w:id="16"/>
      <w:bookmarkEnd w:id="17"/>
    </w:p>
    <w:p w:rsidR="00626828" w:rsidRDefault="00626828" w:rsidP="00626828">
      <w:pPr>
        <w:autoSpaceDE w:val="0"/>
        <w:autoSpaceDN w:val="0"/>
        <w:adjustRightInd w:val="0"/>
        <w:spacing w:after="0" w:line="240" w:lineRule="auto"/>
        <w:ind w:left="113"/>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pénzügyi instrumentumok kezdeti (bekerülési) értékének megállapítása után szükség van ezek további nyomon követésére, folyamatos értékelésére egészen a kivezetésükig.</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pénzügyi instrumentumok követő értékeléséről gyakorlatilag a </w:t>
      </w:r>
      <w:r w:rsidRPr="00AC5D57">
        <w:rPr>
          <w:rFonts w:ascii="Times New Roman" w:hAnsi="Times New Roman" w:cs="Times New Roman"/>
          <w:b/>
          <w:sz w:val="24"/>
          <w:szCs w:val="24"/>
        </w:rPr>
        <w:t>besorolásuk dönt</w:t>
      </w:r>
      <w:r w:rsidRPr="00AC5D57">
        <w:rPr>
          <w:rFonts w:ascii="Times New Roman" w:hAnsi="Times New Roman" w:cs="Times New Roman"/>
          <w:sz w:val="24"/>
          <w:szCs w:val="24"/>
        </w:rPr>
        <w:t>, ez határozza meg, hogy az egyes eszközöket/kötelezettségeket hogyan kell értékelni a továbbiakban. Alapvetően háromféleképpen értékelhetünk egy pénzügyi instrumentumot:</w:t>
      </w:r>
    </w:p>
    <w:p w:rsidR="00FF0C9A" w:rsidRPr="00AC5D57" w:rsidRDefault="00FF0C9A" w:rsidP="00174EBB">
      <w:pPr>
        <w:pStyle w:val="Listaszerbekezds"/>
        <w:numPr>
          <w:ilvl w:val="0"/>
          <w:numId w:val="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amortizált bekerülési értéken (effektív kamatláb módszer alkalmazásával)</w:t>
      </w:r>
    </w:p>
    <w:p w:rsidR="00FF0C9A" w:rsidRPr="00AC5D57" w:rsidRDefault="00FF0C9A" w:rsidP="00174EBB">
      <w:pPr>
        <w:pStyle w:val="Listaszerbekezds"/>
        <w:numPr>
          <w:ilvl w:val="0"/>
          <w:numId w:val="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valós értéken az eredménnyel szemben (FVTPL)</w:t>
      </w:r>
    </w:p>
    <w:p w:rsidR="00FF0C9A" w:rsidRPr="00AC5D57" w:rsidRDefault="00FF0C9A" w:rsidP="00174EBB">
      <w:pPr>
        <w:pStyle w:val="Listaszerbekezds"/>
        <w:numPr>
          <w:ilvl w:val="0"/>
          <w:numId w:val="5"/>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valós értéken az egyéb átfogó eredménnyel szemben (FVTOCI).</w:t>
      </w: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Amortizált bekerülési értéken történő értékelés</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amortizált bekerülési értéket az </w:t>
      </w:r>
      <w:r w:rsidRPr="001805E2">
        <w:rPr>
          <w:rFonts w:ascii="Times New Roman" w:hAnsi="Times New Roman" w:cs="Times New Roman"/>
          <w:b/>
          <w:sz w:val="24"/>
          <w:szCs w:val="24"/>
        </w:rPr>
        <w:t>effektív kamatláb módszerrel</w:t>
      </w:r>
      <w:r w:rsidRPr="00AC5D57">
        <w:rPr>
          <w:rFonts w:ascii="Times New Roman" w:hAnsi="Times New Roman" w:cs="Times New Roman"/>
          <w:sz w:val="24"/>
          <w:szCs w:val="24"/>
        </w:rPr>
        <w:t xml:space="preserve"> kell kiszámítani. Az effektív kamatláb meghatározása: felírjuk az adott instrumentum várható cash flow-it (az összes, instrumentumhoz kapcsolódó pénzáramlást), ennek az összegnek vesszük a jelenértékét (egy ismeretlen, r kamatlábbal diszkontálva), és ez a jelenérték meg fog egyezni az instrumentum (ismert) bekerülési értékével, amiből adódik az r ismeretlen értéke. Ez az r kamatláb lesz az effektív kamatláb, egy olyan belső megtérülési ráta, amely az instrumentum várható cash flow-it pontosan az instrumentum nettó könyv szerinti értékére diszkontálja. Egyenlettel:</w:t>
      </w:r>
    </w:p>
    <w:p w:rsidR="00FF0C9A" w:rsidRPr="00AC5D57" w:rsidRDefault="00FF0C9A" w:rsidP="00FF0C9A">
      <w:pPr>
        <w:tabs>
          <w:tab w:val="left" w:pos="6015"/>
        </w:tabs>
        <w:autoSpaceDE w:val="0"/>
        <w:autoSpaceDN w:val="0"/>
        <w:adjustRightInd w:val="0"/>
        <w:spacing w:after="120" w:line="360" w:lineRule="auto"/>
        <w:jc w:val="center"/>
        <w:rPr>
          <w:rFonts w:ascii="Times New Roman" w:hAnsi="Times New Roman" w:cs="Times New Roman"/>
          <w:sz w:val="24"/>
          <w:szCs w:val="24"/>
        </w:rPr>
      </w:pPr>
      <w:proofErr w:type="gramStart"/>
      <w:r w:rsidRPr="00AC5D57">
        <w:rPr>
          <w:rFonts w:ascii="Times New Roman" w:hAnsi="Times New Roman" w:cs="Times New Roman"/>
          <w:sz w:val="24"/>
          <w:szCs w:val="24"/>
        </w:rPr>
        <w:t>bekerülési</w:t>
      </w:r>
      <w:proofErr w:type="gramEnd"/>
      <w:r w:rsidRPr="00AC5D57">
        <w:rPr>
          <w:rFonts w:ascii="Times New Roman" w:hAnsi="Times New Roman" w:cs="Times New Roman"/>
          <w:sz w:val="24"/>
          <w:szCs w:val="24"/>
        </w:rPr>
        <w:t xml:space="preserve"> (kezdeti) érték = CF</w:t>
      </w:r>
      <w:r w:rsidRPr="00AC5D57">
        <w:rPr>
          <w:rFonts w:ascii="Times New Roman" w:hAnsi="Times New Roman" w:cs="Times New Roman"/>
          <w:sz w:val="24"/>
          <w:szCs w:val="24"/>
          <w:vertAlign w:val="subscript"/>
        </w:rPr>
        <w:t>1</w:t>
      </w:r>
      <w:r w:rsidRPr="00AC5D57">
        <w:rPr>
          <w:rFonts w:ascii="Times New Roman" w:hAnsi="Times New Roman" w:cs="Times New Roman"/>
          <w:sz w:val="24"/>
          <w:szCs w:val="24"/>
        </w:rPr>
        <w:t>/(1+r) + CF</w:t>
      </w:r>
      <w:r w:rsidRPr="00AC5D57">
        <w:rPr>
          <w:rFonts w:ascii="Times New Roman" w:hAnsi="Times New Roman" w:cs="Times New Roman"/>
          <w:sz w:val="24"/>
          <w:szCs w:val="24"/>
          <w:vertAlign w:val="subscript"/>
        </w:rPr>
        <w:t>2</w:t>
      </w:r>
      <w:r w:rsidRPr="00AC5D57">
        <w:rPr>
          <w:rFonts w:ascii="Times New Roman" w:hAnsi="Times New Roman" w:cs="Times New Roman"/>
          <w:sz w:val="24"/>
          <w:szCs w:val="24"/>
        </w:rPr>
        <w:t>/(1+r)</w:t>
      </w:r>
      <w:r w:rsidRPr="00AC5D57">
        <w:rPr>
          <w:rFonts w:ascii="Times New Roman" w:hAnsi="Times New Roman" w:cs="Times New Roman"/>
          <w:sz w:val="24"/>
          <w:szCs w:val="24"/>
          <w:vertAlign w:val="superscript"/>
        </w:rPr>
        <w:t>2</w:t>
      </w:r>
      <w:r w:rsidRPr="00AC5D57">
        <w:rPr>
          <w:rFonts w:ascii="Times New Roman" w:hAnsi="Times New Roman" w:cs="Times New Roman"/>
          <w:sz w:val="24"/>
          <w:szCs w:val="24"/>
        </w:rPr>
        <w:t xml:space="preserve"> + … + </w:t>
      </w:r>
      <w:proofErr w:type="spellStart"/>
      <w:r w:rsidRPr="00AC5D57">
        <w:rPr>
          <w:rFonts w:ascii="Times New Roman" w:hAnsi="Times New Roman" w:cs="Times New Roman"/>
          <w:sz w:val="24"/>
          <w:szCs w:val="24"/>
        </w:rPr>
        <w:t>CF</w:t>
      </w:r>
      <w:r w:rsidRPr="00AC5D57">
        <w:rPr>
          <w:rFonts w:ascii="Times New Roman" w:hAnsi="Times New Roman" w:cs="Times New Roman"/>
          <w:sz w:val="24"/>
          <w:szCs w:val="24"/>
          <w:vertAlign w:val="subscript"/>
        </w:rPr>
        <w:t>n</w:t>
      </w:r>
      <w:proofErr w:type="spellEnd"/>
      <w:r w:rsidRPr="00AC5D57">
        <w:rPr>
          <w:rFonts w:ascii="Times New Roman" w:hAnsi="Times New Roman" w:cs="Times New Roman"/>
          <w:sz w:val="24"/>
          <w:szCs w:val="24"/>
        </w:rPr>
        <w:t>/(1+r)</w:t>
      </w:r>
      <w:r w:rsidRPr="00AC5D57">
        <w:rPr>
          <w:rFonts w:ascii="Times New Roman" w:hAnsi="Times New Roman" w:cs="Times New Roman"/>
          <w:sz w:val="24"/>
          <w:szCs w:val="24"/>
          <w:vertAlign w:val="superscript"/>
        </w:rPr>
        <w:t>n</w:t>
      </w:r>
      <w:r w:rsidRPr="00AC5D57">
        <w:rPr>
          <w:rFonts w:ascii="Times New Roman" w:hAnsi="Times New Roman" w:cs="Times New Roman"/>
          <w:sz w:val="24"/>
          <w:szCs w:val="24"/>
        </w:rPr>
        <w:t>,</w:t>
      </w:r>
    </w:p>
    <w:p w:rsidR="00FF0C9A" w:rsidRPr="00AC5D57" w:rsidRDefault="00FF0C9A" w:rsidP="00FF0C9A">
      <w:pPr>
        <w:tabs>
          <w:tab w:val="left" w:pos="6015"/>
        </w:tabs>
        <w:autoSpaceDE w:val="0"/>
        <w:autoSpaceDN w:val="0"/>
        <w:adjustRightInd w:val="0"/>
        <w:spacing w:after="120" w:line="360" w:lineRule="auto"/>
        <w:jc w:val="both"/>
        <w:rPr>
          <w:rFonts w:ascii="Times New Roman" w:hAnsi="Times New Roman" w:cs="Times New Roman"/>
          <w:sz w:val="24"/>
          <w:szCs w:val="24"/>
        </w:rPr>
      </w:pPr>
      <w:proofErr w:type="gramStart"/>
      <w:r w:rsidRPr="00AC5D57">
        <w:rPr>
          <w:rFonts w:ascii="Times New Roman" w:hAnsi="Times New Roman" w:cs="Times New Roman"/>
          <w:sz w:val="24"/>
          <w:szCs w:val="24"/>
        </w:rPr>
        <w:t>ahol</w:t>
      </w:r>
      <w:proofErr w:type="gramEnd"/>
      <w:r w:rsidRPr="00AC5D57">
        <w:rPr>
          <w:rFonts w:ascii="Times New Roman" w:hAnsi="Times New Roman" w:cs="Times New Roman"/>
          <w:sz w:val="24"/>
          <w:szCs w:val="24"/>
        </w:rPr>
        <w:t xml:space="preserve"> r az effektív kamatláb és az egyedüli ismeretlen (n-ed fokú, </w:t>
      </w:r>
      <w:proofErr w:type="spellStart"/>
      <w:r w:rsidRPr="00AC5D57">
        <w:rPr>
          <w:rFonts w:ascii="Times New Roman" w:hAnsi="Times New Roman" w:cs="Times New Roman"/>
          <w:sz w:val="24"/>
          <w:szCs w:val="24"/>
        </w:rPr>
        <w:t>egyismeretlenes</w:t>
      </w:r>
      <w:proofErr w:type="spellEnd"/>
      <w:r w:rsidRPr="00AC5D57">
        <w:rPr>
          <w:rFonts w:ascii="Times New Roman" w:hAnsi="Times New Roman" w:cs="Times New Roman"/>
          <w:sz w:val="24"/>
          <w:szCs w:val="24"/>
        </w:rPr>
        <w:t xml:space="preserve"> egyenlet).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w:t>
      </w:r>
      <w:r w:rsidRPr="00AC5D57">
        <w:rPr>
          <w:rFonts w:ascii="Times New Roman" w:hAnsi="Times New Roman" w:cs="Times New Roman"/>
          <w:b/>
          <w:sz w:val="24"/>
          <w:szCs w:val="24"/>
        </w:rPr>
        <w:t>amortizált bekerülési érték</w:t>
      </w:r>
      <w:r w:rsidRPr="00AC5D57">
        <w:rPr>
          <w:rFonts w:ascii="Times New Roman" w:hAnsi="Times New Roman" w:cs="Times New Roman"/>
          <w:sz w:val="24"/>
          <w:szCs w:val="24"/>
        </w:rPr>
        <w:t xml:space="preserve"> = bekerülési érték – diszkontok + diszkontok lebontása – tőketörlesztések – értékvesztés/behajthatatlanság miatti veszteségek.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Így az instrumentum könyv szerinti értéke folyamatosan korrigálva van a felsorolt tényezőkkel, és a lejáratkor pontosan meg fog egyezni a névértékkel. Az amortizációs időszak az instrumentum teljes futamideje főszabály szerint, de ha a diszkont egy rövidebb időszakra szól, akkor a diszkontok lebontása </w:t>
      </w:r>
      <w:proofErr w:type="gramStart"/>
      <w:r w:rsidRPr="00AC5D57">
        <w:rPr>
          <w:rFonts w:ascii="Times New Roman" w:hAnsi="Times New Roman" w:cs="Times New Roman"/>
          <w:sz w:val="24"/>
          <w:szCs w:val="24"/>
        </w:rPr>
        <w:t>azalatt</w:t>
      </w:r>
      <w:proofErr w:type="gramEnd"/>
      <w:r w:rsidRPr="00AC5D57">
        <w:rPr>
          <w:rFonts w:ascii="Times New Roman" w:hAnsi="Times New Roman" w:cs="Times New Roman"/>
          <w:sz w:val="24"/>
          <w:szCs w:val="24"/>
        </w:rPr>
        <w:t xml:space="preserve"> az időszak alatt történik meg, amelyre az adott diszkont vonatkozik.</w:t>
      </w: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Valós értéken történő értékelés</w:t>
      </w:r>
    </w:p>
    <w:p w:rsidR="00FF0C9A" w:rsidRPr="00AC5D57" w:rsidRDefault="00FF0C9A" w:rsidP="00FF0C9A">
      <w:pPr>
        <w:pStyle w:val="Default"/>
        <w:spacing w:after="120" w:line="360" w:lineRule="auto"/>
        <w:jc w:val="both"/>
        <w:rPr>
          <w:color w:val="auto"/>
        </w:rPr>
      </w:pPr>
      <w:r w:rsidRPr="00AC5D57">
        <w:rPr>
          <w:color w:val="auto"/>
        </w:rPr>
        <w:t>Ez az értékelési mód kétféleképpen történhet: az eredménnyel vagy az egyéb átfogó eredménnyel (tőkével) szemben. Az egyéb átfogó eredménnyel szemben elszámolt különbözetek a saját tőkében külön soron halmozódnak, nem pedig az eredménnyel szemben.</w:t>
      </w:r>
    </w:p>
    <w:p w:rsidR="00FF0C9A" w:rsidRPr="00AC5D57" w:rsidRDefault="00FF0C9A" w:rsidP="00FF0C9A">
      <w:pPr>
        <w:pStyle w:val="Default"/>
        <w:spacing w:after="120" w:line="360" w:lineRule="auto"/>
        <w:jc w:val="both"/>
        <w:rPr>
          <w:color w:val="auto"/>
        </w:rPr>
      </w:pPr>
      <w:r w:rsidRPr="00AC5D57">
        <w:rPr>
          <w:color w:val="auto"/>
        </w:rPr>
        <w:t>A valós értékeléssel alapvetően az IFRS 13 standard foglalkozik.</w:t>
      </w:r>
    </w:p>
    <w:p w:rsidR="00FF0C9A" w:rsidRPr="00AC5D57" w:rsidRDefault="00FF0C9A" w:rsidP="00FF0C9A">
      <w:pPr>
        <w:pStyle w:val="Default"/>
        <w:spacing w:after="120" w:line="360" w:lineRule="auto"/>
        <w:jc w:val="both"/>
        <w:rPr>
          <w:color w:val="auto"/>
        </w:rPr>
      </w:pPr>
      <w:r w:rsidRPr="00AC5D57">
        <w:rPr>
          <w:color w:val="auto"/>
        </w:rPr>
        <w:t xml:space="preserve">„A </w:t>
      </w:r>
      <w:r w:rsidRPr="00AC5D57">
        <w:rPr>
          <w:b/>
          <w:color w:val="auto"/>
        </w:rPr>
        <w:t>valós érték</w:t>
      </w:r>
      <w:r w:rsidRPr="00AC5D57">
        <w:rPr>
          <w:color w:val="auto"/>
        </w:rPr>
        <w:t xml:space="preserve"> az </w:t>
      </w:r>
      <w:proofErr w:type="spellStart"/>
      <w:r w:rsidRPr="00AC5D57">
        <w:rPr>
          <w:color w:val="auto"/>
        </w:rPr>
        <w:t>az</w:t>
      </w:r>
      <w:proofErr w:type="spellEnd"/>
      <w:r w:rsidRPr="00AC5D57">
        <w:rPr>
          <w:color w:val="auto"/>
        </w:rPr>
        <w:t xml:space="preserve"> ár, amelyet piaci szereplők közötti szokásos tranzakció során egy eszközért kapnának, vagy egy kötelezettség átruházásáért fizetnének az értékelés időpontjában”. (IFRS 13)</w:t>
      </w:r>
    </w:p>
    <w:p w:rsidR="00FF0C9A" w:rsidRPr="00AC5D57" w:rsidRDefault="00FF0C9A" w:rsidP="00FF0C9A">
      <w:pPr>
        <w:pStyle w:val="Default"/>
        <w:spacing w:after="120" w:line="360" w:lineRule="auto"/>
        <w:jc w:val="both"/>
        <w:rPr>
          <w:color w:val="auto"/>
        </w:rPr>
      </w:pPr>
      <w:r w:rsidRPr="00AC5D57">
        <w:rPr>
          <w:color w:val="auto"/>
        </w:rPr>
        <w:t>A valós érték meghatározása során a következő szempontokat kell szem előtt tartani:</w:t>
      </w:r>
    </w:p>
    <w:p w:rsidR="00FF0C9A" w:rsidRPr="00AC5D57" w:rsidRDefault="00FF0C9A" w:rsidP="00174EBB">
      <w:pPr>
        <w:pStyle w:val="Default"/>
        <w:numPr>
          <w:ilvl w:val="0"/>
          <w:numId w:val="6"/>
        </w:numPr>
        <w:spacing w:after="120" w:line="360" w:lineRule="auto"/>
        <w:ind w:left="924" w:hanging="357"/>
        <w:jc w:val="both"/>
        <w:rPr>
          <w:color w:val="auto"/>
        </w:rPr>
      </w:pPr>
      <w:r w:rsidRPr="00AC5D57">
        <w:rPr>
          <w:color w:val="auto"/>
        </w:rPr>
        <w:t>kiindulópontja mindig az eladási ár (</w:t>
      </w:r>
      <w:proofErr w:type="spellStart"/>
      <w:r w:rsidRPr="00AC5D57">
        <w:rPr>
          <w:color w:val="auto"/>
        </w:rPr>
        <w:t>exit</w:t>
      </w:r>
      <w:proofErr w:type="spellEnd"/>
      <w:r w:rsidRPr="00AC5D57">
        <w:rPr>
          <w:color w:val="auto"/>
        </w:rPr>
        <w:t xml:space="preserve"> </w:t>
      </w:r>
      <w:proofErr w:type="spellStart"/>
      <w:r w:rsidRPr="00AC5D57">
        <w:rPr>
          <w:color w:val="auto"/>
        </w:rPr>
        <w:t>price</w:t>
      </w:r>
      <w:proofErr w:type="spellEnd"/>
      <w:r w:rsidRPr="00AC5D57">
        <w:rPr>
          <w:color w:val="auto"/>
        </w:rPr>
        <w:t>)</w:t>
      </w:r>
    </w:p>
    <w:p w:rsidR="00FF0C9A" w:rsidRPr="00AC5D57" w:rsidRDefault="00FF0C9A" w:rsidP="00174EBB">
      <w:pPr>
        <w:pStyle w:val="Default"/>
        <w:numPr>
          <w:ilvl w:val="0"/>
          <w:numId w:val="6"/>
        </w:numPr>
        <w:spacing w:after="120" w:line="360" w:lineRule="auto"/>
        <w:ind w:left="924" w:hanging="357"/>
        <w:jc w:val="both"/>
        <w:rPr>
          <w:color w:val="auto"/>
        </w:rPr>
      </w:pPr>
      <w:r w:rsidRPr="00AC5D57">
        <w:rPr>
          <w:color w:val="auto"/>
        </w:rPr>
        <w:t>az adott vagyonelem elsődleges piacán</w:t>
      </w:r>
      <w:r w:rsidRPr="00AC5D57">
        <w:rPr>
          <w:rStyle w:val="Lbjegyzet-hivatkozs"/>
          <w:color w:val="auto"/>
        </w:rPr>
        <w:footnoteReference w:id="7"/>
      </w:r>
      <w:r w:rsidRPr="00AC5D57">
        <w:rPr>
          <w:color w:val="auto"/>
        </w:rPr>
        <w:t xml:space="preserve"> (ennek hiányában a legelőnyösebb </w:t>
      </w:r>
      <w:proofErr w:type="gramStart"/>
      <w:r w:rsidRPr="00AC5D57">
        <w:rPr>
          <w:color w:val="auto"/>
        </w:rPr>
        <w:t>piacon</w:t>
      </w:r>
      <w:r w:rsidRPr="00AC5D57">
        <w:rPr>
          <w:rStyle w:val="Lbjegyzet-hivatkozs"/>
          <w:color w:val="auto"/>
        </w:rPr>
        <w:footnoteReference w:id="8"/>
      </w:r>
      <w:r w:rsidRPr="00AC5D57">
        <w:rPr>
          <w:color w:val="auto"/>
        </w:rPr>
        <w:t>)</w:t>
      </w:r>
      <w:proofErr w:type="gramEnd"/>
      <w:r w:rsidRPr="00AC5D57">
        <w:rPr>
          <w:color w:val="auto"/>
        </w:rPr>
        <w:t xml:space="preserve"> kialakult árat kell alapul venni</w:t>
      </w:r>
    </w:p>
    <w:p w:rsidR="00FF0C9A" w:rsidRPr="00AC5D57" w:rsidRDefault="00FF0C9A" w:rsidP="00174EBB">
      <w:pPr>
        <w:pStyle w:val="Default"/>
        <w:numPr>
          <w:ilvl w:val="0"/>
          <w:numId w:val="6"/>
        </w:numPr>
        <w:spacing w:after="120" w:line="360" w:lineRule="auto"/>
        <w:ind w:left="924" w:hanging="357"/>
        <w:jc w:val="both"/>
        <w:rPr>
          <w:color w:val="auto"/>
        </w:rPr>
      </w:pPr>
      <w:r w:rsidRPr="00AC5D57">
        <w:rPr>
          <w:color w:val="auto"/>
        </w:rPr>
        <w:t>a tranzakciós költségekkel nem kell kalkulálni</w:t>
      </w:r>
    </w:p>
    <w:p w:rsidR="00FF0C9A" w:rsidRPr="00AC5D57" w:rsidRDefault="00FF0C9A" w:rsidP="00174EBB">
      <w:pPr>
        <w:pStyle w:val="Default"/>
        <w:numPr>
          <w:ilvl w:val="0"/>
          <w:numId w:val="6"/>
        </w:numPr>
        <w:spacing w:after="120" w:line="360" w:lineRule="auto"/>
        <w:ind w:left="924" w:hanging="357"/>
        <w:jc w:val="both"/>
        <w:rPr>
          <w:color w:val="auto"/>
        </w:rPr>
      </w:pPr>
      <w:r w:rsidRPr="00AC5D57">
        <w:rPr>
          <w:color w:val="auto"/>
        </w:rPr>
        <w:t>figyelembe kell venni az instrumentumok tulajdonságait (például: állapot, kapcsol</w:t>
      </w:r>
      <w:r w:rsidR="00626828">
        <w:rPr>
          <w:color w:val="auto"/>
        </w:rPr>
        <w:t>ódó korlátozások, elhelyezkedés</w:t>
      </w:r>
      <w:r w:rsidRPr="00AC5D57">
        <w:rPr>
          <w:color w:val="auto"/>
        </w:rPr>
        <w:t xml:space="preserve"> stb.)</w:t>
      </w:r>
    </w:p>
    <w:p w:rsidR="00FF0C9A" w:rsidRPr="00AC5D57" w:rsidRDefault="00FF0C9A" w:rsidP="00174EBB">
      <w:pPr>
        <w:pStyle w:val="Default"/>
        <w:numPr>
          <w:ilvl w:val="0"/>
          <w:numId w:val="6"/>
        </w:numPr>
        <w:spacing w:after="120" w:line="360" w:lineRule="auto"/>
        <w:ind w:left="924" w:hanging="357"/>
        <w:jc w:val="both"/>
        <w:rPr>
          <w:color w:val="auto"/>
        </w:rPr>
      </w:pPr>
      <w:r w:rsidRPr="00AC5D57">
        <w:rPr>
          <w:color w:val="auto"/>
        </w:rPr>
        <w:t>a piaci szereplők alatt független, jól tájékozott, üzletkötési szándékkal rendelkező, motivált, de nem kényszerített és a tranzakció végrehajtására képes eladókat és vevőket kell érteni</w:t>
      </w:r>
      <w:r w:rsidRPr="00AC5D57">
        <w:rPr>
          <w:rStyle w:val="Lbjegyzet-hivatkozs"/>
          <w:color w:val="auto"/>
        </w:rPr>
        <w:footnoteReference w:id="9"/>
      </w:r>
    </w:p>
    <w:p w:rsidR="00FF0C9A" w:rsidRPr="00AC5D57" w:rsidRDefault="00FF0C9A" w:rsidP="00626828">
      <w:pPr>
        <w:pStyle w:val="Default"/>
        <w:numPr>
          <w:ilvl w:val="0"/>
          <w:numId w:val="6"/>
        </w:numPr>
        <w:spacing w:line="360" w:lineRule="auto"/>
        <w:ind w:left="924" w:hanging="357"/>
        <w:jc w:val="both"/>
        <w:rPr>
          <w:color w:val="auto"/>
        </w:rPr>
      </w:pPr>
      <w:r w:rsidRPr="00AC5D57">
        <w:rPr>
          <w:color w:val="auto"/>
        </w:rPr>
        <w:t>maximalizálni kell a megfigyelhető, és minimalizálni a nem megfigyelhető inputok felhasználását.</w:t>
      </w:r>
    </w:p>
    <w:p w:rsidR="00FF0C9A" w:rsidRPr="00AC5D57" w:rsidRDefault="00FF0C9A" w:rsidP="00FF0C9A">
      <w:pPr>
        <w:pStyle w:val="Default"/>
        <w:spacing w:after="120" w:line="360" w:lineRule="auto"/>
        <w:jc w:val="both"/>
        <w:rPr>
          <w:color w:val="auto"/>
        </w:rPr>
      </w:pPr>
      <w:r w:rsidRPr="00AC5D57">
        <w:rPr>
          <w:color w:val="auto"/>
        </w:rPr>
        <w:t>A valós érték mérésekor használt értékelési eljárások:</w:t>
      </w:r>
    </w:p>
    <w:p w:rsidR="00FF0C9A" w:rsidRPr="00AC5D57" w:rsidRDefault="00FF0C9A" w:rsidP="00174EBB">
      <w:pPr>
        <w:pStyle w:val="Default"/>
        <w:numPr>
          <w:ilvl w:val="0"/>
          <w:numId w:val="7"/>
        </w:numPr>
        <w:spacing w:after="120" w:line="360" w:lineRule="auto"/>
        <w:ind w:left="924" w:hanging="357"/>
        <w:jc w:val="both"/>
        <w:rPr>
          <w:color w:val="auto"/>
        </w:rPr>
      </w:pPr>
      <w:r w:rsidRPr="00AC5D57">
        <w:rPr>
          <w:color w:val="auto"/>
        </w:rPr>
        <w:t>piaci megközelítés</w:t>
      </w:r>
      <w:r>
        <w:rPr>
          <w:color w:val="auto"/>
        </w:rPr>
        <w:t>: piaci információ</w:t>
      </w:r>
      <w:r w:rsidRPr="00AC5D57">
        <w:rPr>
          <w:color w:val="auto"/>
        </w:rPr>
        <w:t>ból, elsősorban az árakból építkezik</w:t>
      </w:r>
    </w:p>
    <w:p w:rsidR="00FF0C9A" w:rsidRPr="00AC5D57" w:rsidRDefault="00FF0C9A" w:rsidP="00174EBB">
      <w:pPr>
        <w:pStyle w:val="Default"/>
        <w:numPr>
          <w:ilvl w:val="0"/>
          <w:numId w:val="7"/>
        </w:numPr>
        <w:spacing w:after="120" w:line="360" w:lineRule="auto"/>
        <w:ind w:left="924" w:hanging="357"/>
        <w:jc w:val="both"/>
        <w:rPr>
          <w:color w:val="auto"/>
        </w:rPr>
      </w:pPr>
      <w:r w:rsidRPr="00AC5D57">
        <w:rPr>
          <w:color w:val="auto"/>
        </w:rPr>
        <w:t>jövedelem-megközelítés: pénz-, illetve jövedelemáramlásokból indul ki, diszkontálás segítségével állapítja meg a jelenlegi értéket</w:t>
      </w:r>
    </w:p>
    <w:p w:rsidR="00FF0C9A" w:rsidRPr="00AC5D57" w:rsidRDefault="00FF0C9A" w:rsidP="00626828">
      <w:pPr>
        <w:pStyle w:val="Default"/>
        <w:numPr>
          <w:ilvl w:val="0"/>
          <w:numId w:val="7"/>
        </w:numPr>
        <w:spacing w:line="360" w:lineRule="auto"/>
        <w:ind w:left="924" w:hanging="357"/>
        <w:jc w:val="both"/>
        <w:rPr>
          <w:color w:val="auto"/>
        </w:rPr>
      </w:pPr>
      <w:r w:rsidRPr="00AC5D57">
        <w:rPr>
          <w:color w:val="auto"/>
        </w:rPr>
        <w:t>költség-megközelítés: kiindulópontja, hogy az adott eszköz pótlása, helyettesítése, kapacitásának kiváltása mennyi költséget okozna.</w:t>
      </w:r>
    </w:p>
    <w:p w:rsidR="00FF0C9A" w:rsidRPr="00AC5D57" w:rsidRDefault="00FF0C9A" w:rsidP="00FF0C9A">
      <w:pPr>
        <w:pStyle w:val="Default"/>
        <w:spacing w:after="120" w:line="360" w:lineRule="auto"/>
        <w:jc w:val="both"/>
        <w:rPr>
          <w:color w:val="auto"/>
        </w:rPr>
      </w:pPr>
      <w:r w:rsidRPr="00AC5D57">
        <w:rPr>
          <w:color w:val="auto"/>
        </w:rPr>
        <w:t xml:space="preserve">A 2008-as pénzügyi és gazdasági válság után az IASB fontosnak tartotta egy </w:t>
      </w:r>
      <w:r w:rsidRPr="001805E2">
        <w:rPr>
          <w:color w:val="auto"/>
        </w:rPr>
        <w:t>értékelési hierarchia</w:t>
      </w:r>
      <w:r w:rsidRPr="00AC5D57">
        <w:rPr>
          <w:color w:val="auto"/>
        </w:rPr>
        <w:t xml:space="preserve"> felállítását, amely segítséget nyújt a gazdaság szereplőinek a valós érték minél megbízhatóbb megállapításában. Így született meg a </w:t>
      </w:r>
      <w:r w:rsidRPr="001805E2">
        <w:rPr>
          <w:b/>
          <w:color w:val="auto"/>
        </w:rPr>
        <w:t>háromszintű valós érték hierarchia</w:t>
      </w:r>
      <w:r w:rsidRPr="00AC5D57">
        <w:rPr>
          <w:color w:val="auto"/>
        </w:rPr>
        <w:t>, amely a valós érték mérésénél felhasznált inputokat rendezi egy piramisba:</w:t>
      </w:r>
    </w:p>
    <w:p w:rsidR="00FF0C9A" w:rsidRPr="00AC5D57" w:rsidRDefault="00FF0C9A" w:rsidP="00174EBB">
      <w:pPr>
        <w:pStyle w:val="Default"/>
        <w:numPr>
          <w:ilvl w:val="0"/>
          <w:numId w:val="8"/>
        </w:numPr>
        <w:spacing w:after="120" w:line="360" w:lineRule="auto"/>
        <w:ind w:left="924" w:hanging="357"/>
        <w:jc w:val="both"/>
        <w:rPr>
          <w:color w:val="auto"/>
        </w:rPr>
      </w:pPr>
      <w:r w:rsidRPr="00AC5D57">
        <w:rPr>
          <w:color w:val="auto"/>
        </w:rPr>
        <w:t>1-es szintű inputok (legfelső szint)</w:t>
      </w:r>
    </w:p>
    <w:p w:rsidR="00FF0C9A" w:rsidRPr="00AC5D57" w:rsidRDefault="00FF0C9A" w:rsidP="00174EBB">
      <w:pPr>
        <w:pStyle w:val="Default"/>
        <w:numPr>
          <w:ilvl w:val="1"/>
          <w:numId w:val="8"/>
        </w:numPr>
        <w:spacing w:after="120" w:line="360" w:lineRule="auto"/>
        <w:ind w:left="1491" w:hanging="357"/>
        <w:jc w:val="both"/>
        <w:rPr>
          <w:color w:val="auto"/>
        </w:rPr>
      </w:pPr>
      <w:r w:rsidRPr="00AC5D57">
        <w:rPr>
          <w:color w:val="auto"/>
        </w:rPr>
        <w:t>aktív piacon</w:t>
      </w:r>
      <w:r w:rsidRPr="00AC5D57">
        <w:rPr>
          <w:rStyle w:val="Lbjegyzet-hivatkozs"/>
          <w:color w:val="auto"/>
        </w:rPr>
        <w:footnoteReference w:id="10"/>
      </w:r>
      <w:r w:rsidRPr="00AC5D57">
        <w:rPr>
          <w:color w:val="auto"/>
        </w:rPr>
        <w:t xml:space="preserve"> jegyzett árak (további kitételek: elsődleges (avagy legelőnyösebb) piac és elérhető árak)</w:t>
      </w:r>
    </w:p>
    <w:p w:rsidR="00FF0C9A" w:rsidRPr="00AC5D57" w:rsidRDefault="00FF0C9A" w:rsidP="00174EBB">
      <w:pPr>
        <w:pStyle w:val="Default"/>
        <w:numPr>
          <w:ilvl w:val="0"/>
          <w:numId w:val="8"/>
        </w:numPr>
        <w:spacing w:after="120" w:line="360" w:lineRule="auto"/>
        <w:ind w:left="924" w:hanging="357"/>
        <w:jc w:val="both"/>
        <w:rPr>
          <w:color w:val="auto"/>
        </w:rPr>
      </w:pPr>
      <w:r w:rsidRPr="00AC5D57">
        <w:rPr>
          <w:color w:val="auto"/>
        </w:rPr>
        <w:t>2-es szintű inputok</w:t>
      </w:r>
    </w:p>
    <w:p w:rsidR="00FF0C9A" w:rsidRPr="00AC5D57" w:rsidRDefault="00FF0C9A" w:rsidP="00174EBB">
      <w:pPr>
        <w:pStyle w:val="Default"/>
        <w:numPr>
          <w:ilvl w:val="1"/>
          <w:numId w:val="8"/>
        </w:numPr>
        <w:spacing w:after="120" w:line="360" w:lineRule="auto"/>
        <w:ind w:left="1491" w:hanging="357"/>
        <w:jc w:val="both"/>
        <w:rPr>
          <w:color w:val="auto"/>
        </w:rPr>
      </w:pPr>
      <w:r w:rsidRPr="00AC5D57">
        <w:rPr>
          <w:color w:val="auto"/>
        </w:rPr>
        <w:t>hasonló eszközök, illetve kötelezettségek aktív piacon jegyzett árai</w:t>
      </w:r>
    </w:p>
    <w:p w:rsidR="00FF0C9A" w:rsidRPr="00AC5D57" w:rsidRDefault="00FF0C9A" w:rsidP="00174EBB">
      <w:pPr>
        <w:pStyle w:val="Default"/>
        <w:numPr>
          <w:ilvl w:val="1"/>
          <w:numId w:val="8"/>
        </w:numPr>
        <w:spacing w:after="120" w:line="360" w:lineRule="auto"/>
        <w:ind w:left="1491" w:hanging="357"/>
        <w:jc w:val="both"/>
        <w:rPr>
          <w:color w:val="auto"/>
        </w:rPr>
      </w:pPr>
      <w:r w:rsidRPr="00AC5D57">
        <w:rPr>
          <w:color w:val="auto"/>
        </w:rPr>
        <w:t>az adott vagy hasonló instrumentum olyan – nem aktív – piacon kialakult árai, amelyek valamilyen szempontból a mérés pillanatában nem tükrözik tökéletesen a piaci szereplők értékítéletét</w:t>
      </w:r>
    </w:p>
    <w:p w:rsidR="00FF0C9A" w:rsidRPr="00AC5D57" w:rsidRDefault="00FF0C9A" w:rsidP="00174EBB">
      <w:pPr>
        <w:pStyle w:val="Default"/>
        <w:numPr>
          <w:ilvl w:val="1"/>
          <w:numId w:val="8"/>
        </w:numPr>
        <w:spacing w:after="120" w:line="360" w:lineRule="auto"/>
        <w:ind w:left="1491" w:hanging="357"/>
        <w:jc w:val="both"/>
        <w:rPr>
          <w:color w:val="auto"/>
        </w:rPr>
      </w:pPr>
      <w:r w:rsidRPr="00AC5D57">
        <w:rPr>
          <w:color w:val="auto"/>
        </w:rPr>
        <w:t xml:space="preserve">piacokon megfigyelhető minden egyéb, nem </w:t>
      </w:r>
      <w:proofErr w:type="gramStart"/>
      <w:r w:rsidRPr="00AC5D57">
        <w:rPr>
          <w:color w:val="auto"/>
        </w:rPr>
        <w:t>árjellegű</w:t>
      </w:r>
      <w:proofErr w:type="gramEnd"/>
      <w:r w:rsidRPr="00AC5D57">
        <w:rPr>
          <w:color w:val="auto"/>
        </w:rPr>
        <w:t xml:space="preserve"> adat</w:t>
      </w:r>
    </w:p>
    <w:p w:rsidR="00FF0C9A" w:rsidRPr="00AC5D57" w:rsidRDefault="00FF0C9A" w:rsidP="00174EBB">
      <w:pPr>
        <w:pStyle w:val="Default"/>
        <w:numPr>
          <w:ilvl w:val="1"/>
          <w:numId w:val="8"/>
        </w:numPr>
        <w:spacing w:after="120" w:line="360" w:lineRule="auto"/>
        <w:ind w:left="1491" w:hanging="357"/>
        <w:jc w:val="both"/>
        <w:rPr>
          <w:color w:val="auto"/>
        </w:rPr>
      </w:pPr>
      <w:r w:rsidRPr="00AC5D57">
        <w:rPr>
          <w:color w:val="auto"/>
        </w:rPr>
        <w:t>olyan, nem közvetlenül megfigyelhető adatok, amelyek megfigyelhető piaci adatokból származtathatók, illetve azok által megerősített adatok</w:t>
      </w:r>
    </w:p>
    <w:p w:rsidR="00FF0C9A" w:rsidRPr="00AC5D57" w:rsidRDefault="00FF0C9A" w:rsidP="00174EBB">
      <w:pPr>
        <w:pStyle w:val="Default"/>
        <w:numPr>
          <w:ilvl w:val="0"/>
          <w:numId w:val="8"/>
        </w:numPr>
        <w:spacing w:after="120" w:line="360" w:lineRule="auto"/>
        <w:ind w:left="924" w:hanging="357"/>
        <w:jc w:val="both"/>
        <w:rPr>
          <w:color w:val="auto"/>
        </w:rPr>
      </w:pPr>
      <w:r w:rsidRPr="00AC5D57">
        <w:rPr>
          <w:color w:val="auto"/>
        </w:rPr>
        <w:t>3-as szintű inputok</w:t>
      </w:r>
    </w:p>
    <w:p w:rsidR="00FF0C9A" w:rsidRPr="00F2739A" w:rsidRDefault="00FF0C9A" w:rsidP="00626828">
      <w:pPr>
        <w:pStyle w:val="Default"/>
        <w:numPr>
          <w:ilvl w:val="1"/>
          <w:numId w:val="8"/>
        </w:numPr>
        <w:ind w:left="1491" w:hanging="357"/>
        <w:jc w:val="both"/>
        <w:rPr>
          <w:color w:val="auto"/>
        </w:rPr>
      </w:pPr>
      <w:r w:rsidRPr="00AC5D57">
        <w:rPr>
          <w:color w:val="auto"/>
        </w:rPr>
        <w:t>nem megfigyelhető inputok, illetve az ezeket felhasználó eljárások.</w:t>
      </w:r>
      <w:r>
        <w:rPr>
          <w:color w:val="auto"/>
        </w:rPr>
        <w:br w:type="page"/>
      </w:r>
    </w:p>
    <w:p w:rsidR="00FF0C9A" w:rsidRPr="00AC5D57" w:rsidRDefault="00FF0C9A" w:rsidP="00FF0C9A">
      <w:pPr>
        <w:pStyle w:val="Default"/>
        <w:spacing w:after="120" w:line="360" w:lineRule="auto"/>
        <w:jc w:val="both"/>
        <w:rPr>
          <w:color w:val="auto"/>
        </w:rPr>
      </w:pPr>
      <w:r w:rsidRPr="00AC5D57">
        <w:rPr>
          <w:color w:val="auto"/>
        </w:rPr>
        <w:t xml:space="preserve">A valós érték hierarchiát </w:t>
      </w:r>
      <w:r>
        <w:rPr>
          <w:color w:val="auto"/>
        </w:rPr>
        <w:t>fo</w:t>
      </w:r>
      <w:r w:rsidR="00626828">
        <w:rPr>
          <w:color w:val="auto"/>
        </w:rPr>
        <w:t>glalja össze a következő ábra (6</w:t>
      </w:r>
      <w:r>
        <w:rPr>
          <w:color w:val="auto"/>
        </w:rPr>
        <w:t>.</w:t>
      </w:r>
      <w:r w:rsidR="00626828">
        <w:rPr>
          <w:color w:val="auto"/>
        </w:rPr>
        <w:t xml:space="preserve"> </w:t>
      </w:r>
      <w:r>
        <w:rPr>
          <w:color w:val="auto"/>
        </w:rPr>
        <w:t>ábra):</w:t>
      </w:r>
    </w:p>
    <w:p w:rsidR="00FF0C9A" w:rsidRPr="00B05488" w:rsidRDefault="00FF0C9A" w:rsidP="00FF0C9A">
      <w:pPr>
        <w:pStyle w:val="Default"/>
        <w:spacing w:line="360" w:lineRule="auto"/>
        <w:jc w:val="both"/>
        <w:rPr>
          <w:color w:val="auto"/>
          <w:sz w:val="20"/>
          <w:szCs w:val="20"/>
        </w:rPr>
      </w:pPr>
      <w:r w:rsidRPr="00B05488">
        <w:rPr>
          <w:noProof/>
          <w:color w:val="auto"/>
          <w:sz w:val="20"/>
          <w:szCs w:val="20"/>
          <w:lang w:eastAsia="hu-HU"/>
        </w:rPr>
        <w:drawing>
          <wp:inline distT="0" distB="0" distL="0" distR="0">
            <wp:extent cx="6000750" cy="5891647"/>
            <wp:effectExtent l="19050" t="0" r="0" b="0"/>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03173" cy="5894026"/>
                    </a:xfrm>
                    <a:prstGeom prst="rect">
                      <a:avLst/>
                    </a:prstGeom>
                    <a:noFill/>
                    <a:ln w="9525">
                      <a:noFill/>
                      <a:miter lim="800000"/>
                      <a:headEnd/>
                      <a:tailEnd/>
                    </a:ln>
                  </pic:spPr>
                </pic:pic>
              </a:graphicData>
            </a:graphic>
          </wp:inline>
        </w:drawing>
      </w:r>
    </w:p>
    <w:p w:rsidR="00FF0C9A" w:rsidRDefault="00FF0C9A" w:rsidP="00FF0C9A">
      <w:pPr>
        <w:autoSpaceDE w:val="0"/>
        <w:autoSpaceDN w:val="0"/>
        <w:adjustRightInd w:val="0"/>
        <w:spacing w:after="120" w:line="360" w:lineRule="auto"/>
        <w:jc w:val="both"/>
        <w:rPr>
          <w:rFonts w:ascii="Times New Roman" w:hAnsi="Times New Roman" w:cs="Times New Roman"/>
          <w:sz w:val="20"/>
          <w:szCs w:val="20"/>
        </w:rPr>
      </w:pPr>
      <w:proofErr w:type="gramStart"/>
      <w:r w:rsidRPr="00B05488">
        <w:rPr>
          <w:rFonts w:ascii="Times New Roman" w:hAnsi="Times New Roman" w:cs="Times New Roman"/>
          <w:sz w:val="20"/>
          <w:szCs w:val="20"/>
        </w:rPr>
        <w:t>forrás</w:t>
      </w:r>
      <w:proofErr w:type="gramEnd"/>
      <w:r w:rsidRPr="00B05488">
        <w:rPr>
          <w:rFonts w:ascii="Times New Roman" w:hAnsi="Times New Roman" w:cs="Times New Roman"/>
          <w:sz w:val="20"/>
          <w:szCs w:val="20"/>
        </w:rPr>
        <w:t>:http://phd.lib.uni-corvinus.hu/692/1/Kovacs_Daniel_Mate_dhu.pdf</w:t>
      </w:r>
      <w:r>
        <w:rPr>
          <w:rFonts w:ascii="Times New Roman" w:hAnsi="Times New Roman" w:cs="Times New Roman"/>
          <w:sz w:val="20"/>
          <w:szCs w:val="20"/>
        </w:rPr>
        <w:t>, pp. 95.</w:t>
      </w:r>
    </w:p>
    <w:p w:rsidR="00626828" w:rsidRPr="00AC5D57" w:rsidRDefault="00626828" w:rsidP="00626828">
      <w:pPr>
        <w:autoSpaceDE w:val="0"/>
        <w:autoSpaceDN w:val="0"/>
        <w:adjustRightInd w:val="0"/>
        <w:spacing w:after="0" w:line="240" w:lineRule="auto"/>
        <w:jc w:val="both"/>
        <w:rPr>
          <w:rFonts w:ascii="Times New Roman" w:hAnsi="Times New Roman" w:cs="Times New Roman"/>
          <w:sz w:val="20"/>
          <w:szCs w:val="20"/>
        </w:rPr>
      </w:pPr>
    </w:p>
    <w:p w:rsidR="00FF0C9A" w:rsidRPr="00AC5D57" w:rsidRDefault="00FF0C9A" w:rsidP="00FF0C9A">
      <w:pPr>
        <w:pStyle w:val="Cmsor3"/>
      </w:pPr>
      <w:bookmarkStart w:id="18" w:name="_Toc434181028"/>
      <w:bookmarkStart w:id="19" w:name="_Toc434689800"/>
      <w:r w:rsidRPr="00AC5D57">
        <w:t>Valós érték változások</w:t>
      </w:r>
      <w:bookmarkEnd w:id="18"/>
      <w:bookmarkEnd w:id="19"/>
    </w:p>
    <w:p w:rsidR="00626828" w:rsidRDefault="00626828" w:rsidP="00626828">
      <w:pPr>
        <w:pStyle w:val="Default"/>
        <w:jc w:val="both"/>
        <w:rPr>
          <w:b/>
          <w:color w:val="auto"/>
        </w:rPr>
      </w:pPr>
    </w:p>
    <w:p w:rsidR="00FF0C9A" w:rsidRPr="00AC5D57" w:rsidRDefault="00FF0C9A" w:rsidP="00FF0C9A">
      <w:pPr>
        <w:pStyle w:val="Default"/>
        <w:spacing w:after="120" w:line="360" w:lineRule="auto"/>
        <w:jc w:val="both"/>
        <w:rPr>
          <w:b/>
          <w:color w:val="auto"/>
        </w:rPr>
      </w:pPr>
      <w:r w:rsidRPr="00AC5D57">
        <w:rPr>
          <w:b/>
          <w:color w:val="auto"/>
        </w:rPr>
        <w:t>Pénzügyi eszközök</w:t>
      </w:r>
    </w:p>
    <w:p w:rsidR="00FF0C9A" w:rsidRPr="00AC5D57" w:rsidRDefault="00FF0C9A" w:rsidP="00FF0C9A">
      <w:pPr>
        <w:pStyle w:val="Default"/>
        <w:spacing w:after="120" w:line="360" w:lineRule="auto"/>
        <w:jc w:val="both"/>
        <w:rPr>
          <w:color w:val="auto"/>
        </w:rPr>
      </w:pPr>
      <w:r w:rsidRPr="00AC5D57">
        <w:rPr>
          <w:color w:val="auto"/>
        </w:rPr>
        <w:t xml:space="preserve">A pénzügyi eszközök valós érték változása </w:t>
      </w:r>
      <w:r w:rsidRPr="003E0011">
        <w:rPr>
          <w:b/>
          <w:color w:val="auto"/>
        </w:rPr>
        <w:t>alapesetben az eredménnyel szemben</w:t>
      </w:r>
      <w:r w:rsidRPr="00AC5D57">
        <w:rPr>
          <w:color w:val="auto"/>
        </w:rPr>
        <w:t xml:space="preserve"> történik, kivéve azon (nem kereskedési célú) tőkebefektetések esetét, amelyekre az egyéb átfogó eredménnyel szembeni elszámolást választja (már a bekerülésnél) a gazdálkodó egység. Valamennyi részvény esetén egyedileg kell döntenie, és a későbbiekben – amíg az eszközt ki nem vezeti – nem térhet el a döntésétől. Azonban az egyéb átfogó eredménnyel szembeni elszámolás választása esetén:</w:t>
      </w:r>
    </w:p>
    <w:p w:rsidR="00FF0C9A" w:rsidRPr="00AC5D57" w:rsidRDefault="00FF0C9A" w:rsidP="00174EBB">
      <w:pPr>
        <w:pStyle w:val="Default"/>
        <w:numPr>
          <w:ilvl w:val="0"/>
          <w:numId w:val="9"/>
        </w:numPr>
        <w:spacing w:after="120" w:line="360" w:lineRule="auto"/>
        <w:ind w:left="924" w:hanging="357"/>
        <w:jc w:val="both"/>
        <w:rPr>
          <w:color w:val="auto"/>
        </w:rPr>
      </w:pPr>
      <w:r w:rsidRPr="00AC5D57">
        <w:rPr>
          <w:color w:val="auto"/>
        </w:rPr>
        <w:t xml:space="preserve">az egyéb átfogó eredményként elszámolt különbözetek később sem számolhatók el az eredménnyel szemben, viszont a saját </w:t>
      </w:r>
      <w:proofErr w:type="gramStart"/>
      <w:r w:rsidRPr="00AC5D57">
        <w:rPr>
          <w:color w:val="auto"/>
        </w:rPr>
        <w:t>tőke különböző</w:t>
      </w:r>
      <w:proofErr w:type="gramEnd"/>
      <w:r w:rsidRPr="00AC5D57">
        <w:rPr>
          <w:color w:val="auto"/>
        </w:rPr>
        <w:t xml:space="preserve"> sorai között átvezethetők</w:t>
      </w:r>
    </w:p>
    <w:p w:rsidR="00FF0C9A" w:rsidRPr="00AC5D57" w:rsidRDefault="00FF0C9A" w:rsidP="00174EBB">
      <w:pPr>
        <w:pStyle w:val="Default"/>
        <w:numPr>
          <w:ilvl w:val="0"/>
          <w:numId w:val="9"/>
        </w:numPr>
        <w:spacing w:after="240" w:line="360" w:lineRule="auto"/>
        <w:ind w:left="924" w:hanging="357"/>
        <w:jc w:val="both"/>
        <w:rPr>
          <w:color w:val="auto"/>
        </w:rPr>
      </w:pPr>
      <w:r w:rsidRPr="00AC5D57">
        <w:rPr>
          <w:color w:val="auto"/>
        </w:rPr>
        <w:t>a járó osztalékokat itt is az eredményben kell elszámolni.</w:t>
      </w:r>
    </w:p>
    <w:p w:rsidR="00FF0C9A" w:rsidRPr="00AC5D57" w:rsidRDefault="00FF0C9A" w:rsidP="00FF0C9A">
      <w:pPr>
        <w:pStyle w:val="Default"/>
        <w:spacing w:after="120" w:line="360" w:lineRule="auto"/>
        <w:jc w:val="both"/>
        <w:rPr>
          <w:color w:val="auto"/>
        </w:rPr>
      </w:pPr>
      <w:r w:rsidRPr="00AC5D57">
        <w:rPr>
          <w:color w:val="auto"/>
        </w:rPr>
        <w:t>A („szokásos módon” megszerzett eszközöknél) teljesítési időpont szerinti elszámolás választása esetén a teljesítési időpont és az ügylet kötésének időpontja közötti valós érték változások:</w:t>
      </w:r>
    </w:p>
    <w:p w:rsidR="00FF0C9A" w:rsidRPr="00AC5D57" w:rsidRDefault="00FF0C9A" w:rsidP="00174EBB">
      <w:pPr>
        <w:pStyle w:val="Default"/>
        <w:numPr>
          <w:ilvl w:val="0"/>
          <w:numId w:val="10"/>
        </w:numPr>
        <w:spacing w:after="120" w:line="360" w:lineRule="auto"/>
        <w:ind w:left="924" w:hanging="357"/>
        <w:jc w:val="both"/>
        <w:rPr>
          <w:color w:val="auto"/>
        </w:rPr>
      </w:pPr>
      <w:r w:rsidRPr="00AC5D57">
        <w:rPr>
          <w:color w:val="auto"/>
        </w:rPr>
        <w:t>amortizált bekerülési értéken értékelt eszközöknél nem számolandóak el</w:t>
      </w:r>
    </w:p>
    <w:p w:rsidR="00FF0C9A" w:rsidRPr="00AC5D57" w:rsidRDefault="00FF0C9A" w:rsidP="00174EBB">
      <w:pPr>
        <w:pStyle w:val="Default"/>
        <w:numPr>
          <w:ilvl w:val="0"/>
          <w:numId w:val="10"/>
        </w:numPr>
        <w:spacing w:after="240" w:line="360" w:lineRule="auto"/>
        <w:ind w:left="924" w:hanging="357"/>
        <w:jc w:val="both"/>
        <w:rPr>
          <w:color w:val="auto"/>
        </w:rPr>
      </w:pPr>
      <w:r w:rsidRPr="00AC5D57">
        <w:rPr>
          <w:color w:val="auto"/>
        </w:rPr>
        <w:t>valós értéken értékelt eszközöknél pedig az eredménnyel, illetve az egyéb átfogó eredménnyel szemben kerülnek elszámolásra – az eszköz besorolásától függően.</w:t>
      </w:r>
    </w:p>
    <w:p w:rsidR="00FF0C9A" w:rsidRPr="00AC5D57" w:rsidRDefault="00FF0C9A" w:rsidP="00FF0C9A">
      <w:pPr>
        <w:pStyle w:val="Default"/>
        <w:spacing w:after="120" w:line="360" w:lineRule="auto"/>
        <w:jc w:val="both"/>
        <w:rPr>
          <w:b/>
          <w:color w:val="auto"/>
        </w:rPr>
      </w:pPr>
      <w:r w:rsidRPr="00AC5D57">
        <w:rPr>
          <w:b/>
          <w:color w:val="auto"/>
        </w:rPr>
        <w:t>Pénzügyi kötelezettségek</w:t>
      </w:r>
    </w:p>
    <w:p w:rsidR="00FF0C9A" w:rsidRPr="00AC5D57" w:rsidRDefault="00FF0C9A" w:rsidP="00FF0C9A">
      <w:pPr>
        <w:pStyle w:val="Default"/>
        <w:spacing w:after="120" w:line="360" w:lineRule="auto"/>
        <w:jc w:val="both"/>
        <w:rPr>
          <w:color w:val="auto"/>
        </w:rPr>
      </w:pPr>
      <w:r w:rsidRPr="00AC5D57">
        <w:rPr>
          <w:color w:val="auto"/>
        </w:rPr>
        <w:t>Hitelezési kockázat (</w:t>
      </w:r>
      <w:r w:rsidRPr="003E0011">
        <w:rPr>
          <w:b/>
          <w:color w:val="auto"/>
        </w:rPr>
        <w:t xml:space="preserve">credit </w:t>
      </w:r>
      <w:proofErr w:type="spellStart"/>
      <w:r w:rsidRPr="003E0011">
        <w:rPr>
          <w:b/>
          <w:color w:val="auto"/>
        </w:rPr>
        <w:t>risk</w:t>
      </w:r>
      <w:proofErr w:type="spellEnd"/>
      <w:r w:rsidRPr="00AC5D57">
        <w:rPr>
          <w:color w:val="auto"/>
        </w:rPr>
        <w:t xml:space="preserve">): </w:t>
      </w:r>
    </w:p>
    <w:p w:rsidR="00FF0C9A" w:rsidRPr="00AC5D57" w:rsidRDefault="00FF0C9A" w:rsidP="00174EBB">
      <w:pPr>
        <w:pStyle w:val="Default"/>
        <w:numPr>
          <w:ilvl w:val="0"/>
          <w:numId w:val="11"/>
        </w:numPr>
        <w:spacing w:after="120" w:line="360" w:lineRule="auto"/>
        <w:ind w:left="924" w:hanging="357"/>
        <w:jc w:val="both"/>
        <w:rPr>
          <w:color w:val="auto"/>
        </w:rPr>
      </w:pPr>
      <w:r w:rsidRPr="00AC5D57">
        <w:rPr>
          <w:color w:val="auto"/>
        </w:rPr>
        <w:t>az a veszteség, amit a pénzügyi instrumentum egyik szerződő fele okoz a másiknak azáltal, hogy nem teljesíti fizetési kötelezettségét</w:t>
      </w:r>
    </w:p>
    <w:p w:rsidR="00FF0C9A" w:rsidRPr="00AC5D57" w:rsidRDefault="00FF0C9A" w:rsidP="00174EBB">
      <w:pPr>
        <w:pStyle w:val="Default"/>
        <w:numPr>
          <w:ilvl w:val="0"/>
          <w:numId w:val="11"/>
        </w:numPr>
        <w:spacing w:after="120" w:line="360" w:lineRule="auto"/>
        <w:ind w:left="924" w:hanging="357"/>
        <w:jc w:val="both"/>
        <w:rPr>
          <w:color w:val="auto"/>
        </w:rPr>
      </w:pPr>
      <w:r w:rsidRPr="00AC5D57">
        <w:rPr>
          <w:color w:val="auto"/>
        </w:rPr>
        <w:t>egy adott kötelezettséghez kapcsolódó fizetőképességgel függ össze</w:t>
      </w:r>
    </w:p>
    <w:p w:rsidR="00FF0C9A" w:rsidRPr="00AC5D57" w:rsidRDefault="00FF0C9A" w:rsidP="00174EBB">
      <w:pPr>
        <w:pStyle w:val="Default"/>
        <w:numPr>
          <w:ilvl w:val="0"/>
          <w:numId w:val="11"/>
        </w:numPr>
        <w:spacing w:after="120" w:line="360" w:lineRule="auto"/>
        <w:ind w:left="924" w:hanging="357"/>
        <w:jc w:val="both"/>
        <w:rPr>
          <w:color w:val="auto"/>
        </w:rPr>
      </w:pPr>
      <w:r w:rsidRPr="00AC5D57">
        <w:rPr>
          <w:color w:val="auto"/>
        </w:rPr>
        <w:t>nem csak az adós hitelminősítésétől függ</w:t>
      </w:r>
    </w:p>
    <w:p w:rsidR="00FF0C9A" w:rsidRPr="00AC5D57" w:rsidRDefault="00FF0C9A" w:rsidP="00174EBB">
      <w:pPr>
        <w:pStyle w:val="Default"/>
        <w:numPr>
          <w:ilvl w:val="0"/>
          <w:numId w:val="11"/>
        </w:numPr>
        <w:spacing w:after="240" w:line="360" w:lineRule="auto"/>
        <w:ind w:left="924" w:hanging="357"/>
        <w:jc w:val="both"/>
        <w:rPr>
          <w:color w:val="auto"/>
        </w:rPr>
      </w:pPr>
      <w:r w:rsidRPr="00AC5D57">
        <w:rPr>
          <w:color w:val="auto"/>
        </w:rPr>
        <w:t>valamennyi esetben az adott kötelezettség vonatkozásában vizsgálandó.</w:t>
      </w:r>
    </w:p>
    <w:p w:rsidR="00FF0C9A" w:rsidRPr="00AC5D57" w:rsidRDefault="00FF0C9A" w:rsidP="00FF0C9A">
      <w:pPr>
        <w:pStyle w:val="Default"/>
        <w:spacing w:after="120" w:line="360" w:lineRule="auto"/>
        <w:jc w:val="both"/>
        <w:rPr>
          <w:color w:val="auto"/>
        </w:rPr>
      </w:pPr>
      <w:r w:rsidRPr="00AC5D57">
        <w:rPr>
          <w:color w:val="auto"/>
        </w:rPr>
        <w:t>Az egyéb biztosítékok még rosszabb hitelminősítés esetén is csökkentik az esetleges veszteséget. A hitelezési kockázatot el kell különíteni egy adott eszközre jellemző specifikus kockázattól, ami egy adott eszközcsoport gyenge pénzügyi teljesítményével van összefüggésben.</w:t>
      </w:r>
    </w:p>
    <w:p w:rsidR="00FF0C9A" w:rsidRPr="00AC5D57" w:rsidRDefault="00FF0C9A" w:rsidP="00FF0C9A">
      <w:pPr>
        <w:pStyle w:val="Default"/>
        <w:spacing w:after="120" w:line="360" w:lineRule="auto"/>
        <w:jc w:val="both"/>
        <w:rPr>
          <w:color w:val="auto"/>
        </w:rPr>
      </w:pPr>
      <w:r w:rsidRPr="003E0011">
        <w:rPr>
          <w:b/>
          <w:color w:val="auto"/>
        </w:rPr>
        <w:t>Főszabály</w:t>
      </w:r>
      <w:r w:rsidRPr="00AC5D57">
        <w:rPr>
          <w:color w:val="auto"/>
        </w:rPr>
        <w:t xml:space="preserve"> szerint a pénzügyi kötelezettségek valós érték változását </w:t>
      </w:r>
      <w:r w:rsidRPr="003E0011">
        <w:rPr>
          <w:b/>
          <w:color w:val="auto"/>
        </w:rPr>
        <w:t>az eredménnyel szemben</w:t>
      </w:r>
      <w:r w:rsidRPr="00AC5D57">
        <w:rPr>
          <w:color w:val="auto"/>
        </w:rPr>
        <w:t xml:space="preserve"> kell elszámolni. </w:t>
      </w:r>
      <w:r w:rsidRPr="003E0011">
        <w:rPr>
          <w:b/>
          <w:color w:val="auto"/>
        </w:rPr>
        <w:t>Azonban a</w:t>
      </w:r>
      <w:r w:rsidRPr="00AC5D57">
        <w:rPr>
          <w:color w:val="auto"/>
        </w:rPr>
        <w:t xml:space="preserve"> </w:t>
      </w:r>
      <w:r w:rsidRPr="00AC5D57">
        <w:rPr>
          <w:b/>
          <w:color w:val="auto"/>
        </w:rPr>
        <w:t>valós érték opció</w:t>
      </w:r>
      <w:r w:rsidR="00626828">
        <w:rPr>
          <w:b/>
          <w:color w:val="auto"/>
        </w:rPr>
        <w:t xml:space="preserve"> </w:t>
      </w:r>
      <w:r w:rsidRPr="00AC5D57">
        <w:rPr>
          <w:b/>
          <w:color w:val="auto"/>
        </w:rPr>
        <w:t>alkalmazása esetén</w:t>
      </w:r>
      <w:r w:rsidRPr="00AC5D57">
        <w:rPr>
          <w:color w:val="auto"/>
        </w:rPr>
        <w:t xml:space="preserve"> a kötelezettségekre az IFRS 9 szétválasztja a valós érték megváltozásának okait, kiemelve a hitelezési kockázat változásához kapcsolódó nyereséget/veszteséget. Vegyük észre, hogy jelen esetben a saját kötelezettségeinkről beszélünk, mi vagyunk az adósok, ezért itt saját hitelezési kockázatról van szó. A standard alapján valós érték opció esetén:</w:t>
      </w:r>
    </w:p>
    <w:p w:rsidR="00FF0C9A" w:rsidRPr="00AC5D57" w:rsidRDefault="00FF0C9A" w:rsidP="00174EBB">
      <w:pPr>
        <w:pStyle w:val="Default"/>
        <w:numPr>
          <w:ilvl w:val="0"/>
          <w:numId w:val="12"/>
        </w:numPr>
        <w:spacing w:after="120" w:line="360" w:lineRule="auto"/>
        <w:ind w:left="924" w:hanging="357"/>
        <w:jc w:val="both"/>
        <w:rPr>
          <w:color w:val="auto"/>
        </w:rPr>
      </w:pPr>
      <w:r w:rsidRPr="00AC5D57">
        <w:rPr>
          <w:color w:val="auto"/>
        </w:rPr>
        <w:t xml:space="preserve">először le kell választani a saját hitelezési kockázat változásával összefüggő valós értékváltozást, amely az </w:t>
      </w:r>
      <w:r w:rsidRPr="00AC5D57">
        <w:rPr>
          <w:b/>
          <w:color w:val="auto"/>
        </w:rPr>
        <w:t>egyéb átfogó eredménnyel</w:t>
      </w:r>
      <w:r w:rsidRPr="00AC5D57">
        <w:rPr>
          <w:color w:val="auto"/>
        </w:rPr>
        <w:t xml:space="preserve"> szemben kerül elszámolásra, majd</w:t>
      </w:r>
    </w:p>
    <w:p w:rsidR="00FF0C9A" w:rsidRPr="00AC5D57" w:rsidRDefault="00FF0C9A" w:rsidP="00174EBB">
      <w:pPr>
        <w:pStyle w:val="Default"/>
        <w:numPr>
          <w:ilvl w:val="0"/>
          <w:numId w:val="12"/>
        </w:numPr>
        <w:spacing w:after="120" w:line="360" w:lineRule="auto"/>
        <w:ind w:left="924" w:hanging="357"/>
        <w:jc w:val="both"/>
        <w:rPr>
          <w:color w:val="auto"/>
        </w:rPr>
      </w:pPr>
      <w:r w:rsidRPr="00AC5D57">
        <w:rPr>
          <w:color w:val="auto"/>
        </w:rPr>
        <w:t xml:space="preserve">a fennmaradó összeget az </w:t>
      </w:r>
      <w:r w:rsidRPr="00AC5D57">
        <w:rPr>
          <w:b/>
          <w:color w:val="auto"/>
        </w:rPr>
        <w:t>eredménnyel</w:t>
      </w:r>
      <w:r w:rsidRPr="00AC5D57">
        <w:rPr>
          <w:color w:val="auto"/>
        </w:rPr>
        <w:t xml:space="preserve"> szemben kell elszámolni</w:t>
      </w:r>
    </w:p>
    <w:p w:rsidR="00FF0C9A" w:rsidRPr="00AC5D57" w:rsidRDefault="00FF0C9A" w:rsidP="00174EBB">
      <w:pPr>
        <w:pStyle w:val="Default"/>
        <w:numPr>
          <w:ilvl w:val="1"/>
          <w:numId w:val="12"/>
        </w:numPr>
        <w:spacing w:after="240" w:line="360" w:lineRule="auto"/>
        <w:ind w:left="1491" w:hanging="357"/>
        <w:jc w:val="both"/>
        <w:rPr>
          <w:color w:val="auto"/>
        </w:rPr>
      </w:pPr>
      <w:r w:rsidRPr="00AC5D57">
        <w:rPr>
          <w:color w:val="auto"/>
        </w:rPr>
        <w:t>kivéve: ha inkonzisztenciát okoz vagy erősít fel az egyéb átfogó eredménnyel szembeni elszámolás, mert akkor a teljes összeget az eredménnyel szemben kell megjeleníteni.</w:t>
      </w:r>
    </w:p>
    <w:p w:rsidR="00FF0C9A" w:rsidRPr="00AC5D57" w:rsidRDefault="00FF0C9A" w:rsidP="00FF0C9A">
      <w:pPr>
        <w:pStyle w:val="Default"/>
        <w:spacing w:after="120" w:line="360" w:lineRule="auto"/>
        <w:jc w:val="both"/>
        <w:rPr>
          <w:color w:val="auto"/>
        </w:rPr>
      </w:pPr>
      <w:r w:rsidRPr="00AC5D57">
        <w:rPr>
          <w:color w:val="auto"/>
        </w:rPr>
        <w:t>Az egyéb átfogó eredménnyel szemben elszámolt tételek a későbbiek során itt sem vezethetőek át az eredménybe, csak a saját tőke sorai között csoportosíthatóak át.</w:t>
      </w:r>
    </w:p>
    <w:p w:rsidR="00FF0C9A" w:rsidRPr="00AC5D57" w:rsidRDefault="00FF0C9A" w:rsidP="00FF0C9A">
      <w:pPr>
        <w:pStyle w:val="Default"/>
        <w:spacing w:after="120" w:line="360" w:lineRule="auto"/>
        <w:jc w:val="both"/>
        <w:rPr>
          <w:color w:val="auto"/>
        </w:rPr>
      </w:pPr>
      <w:r w:rsidRPr="00AC5D57">
        <w:rPr>
          <w:color w:val="auto"/>
        </w:rPr>
        <w:t>A saját hitelezési kockázat megváltozásával kapcsolatos értékváltozás számszerűsítésére kétféle módszer lehetséges:</w:t>
      </w:r>
    </w:p>
    <w:p w:rsidR="00FF0C9A" w:rsidRPr="00AC5D57" w:rsidRDefault="00FF0C9A" w:rsidP="00174EBB">
      <w:pPr>
        <w:pStyle w:val="Default"/>
        <w:numPr>
          <w:ilvl w:val="0"/>
          <w:numId w:val="13"/>
        </w:numPr>
        <w:spacing w:after="120" w:line="360" w:lineRule="auto"/>
        <w:ind w:left="924" w:hanging="357"/>
        <w:jc w:val="both"/>
        <w:rPr>
          <w:color w:val="auto"/>
        </w:rPr>
      </w:pPr>
      <w:r w:rsidRPr="00AC5D57">
        <w:rPr>
          <w:b/>
          <w:color w:val="auto"/>
        </w:rPr>
        <w:t>maradékelv</w:t>
      </w:r>
      <w:r w:rsidRPr="00AC5D57">
        <w:rPr>
          <w:color w:val="auto"/>
        </w:rPr>
        <w:t>: minden olyan értékváltozás, ami nem a piaci körülmények megváltozásából ered</w:t>
      </w:r>
    </w:p>
    <w:p w:rsidR="00FF0C9A" w:rsidRPr="00AC5D57" w:rsidRDefault="00FF0C9A" w:rsidP="00174EBB">
      <w:pPr>
        <w:pStyle w:val="Default"/>
        <w:numPr>
          <w:ilvl w:val="0"/>
          <w:numId w:val="13"/>
        </w:numPr>
        <w:spacing w:after="240" w:line="360" w:lineRule="auto"/>
        <w:ind w:left="924" w:hanging="357"/>
        <w:jc w:val="both"/>
        <w:rPr>
          <w:color w:val="auto"/>
        </w:rPr>
      </w:pPr>
      <w:r w:rsidRPr="00AC5D57">
        <w:rPr>
          <w:color w:val="auto"/>
        </w:rPr>
        <w:t xml:space="preserve">bármilyen </w:t>
      </w:r>
      <w:r w:rsidRPr="00AC5D57">
        <w:rPr>
          <w:b/>
          <w:color w:val="auto"/>
        </w:rPr>
        <w:t>alternatív módszer</w:t>
      </w:r>
      <w:r w:rsidRPr="00AC5D57">
        <w:rPr>
          <w:color w:val="auto"/>
        </w:rPr>
        <w:t>, ami a gazdálkodó egység megítélése szerint jobban tükrözi a hitelezési kockázat megváltozásából származó értékváltozást.</w:t>
      </w:r>
    </w:p>
    <w:p w:rsidR="00FF0C9A" w:rsidRPr="00AC5D57" w:rsidRDefault="00FF0C9A" w:rsidP="00FF0C9A">
      <w:pPr>
        <w:pStyle w:val="Default"/>
        <w:spacing w:after="120" w:line="360" w:lineRule="auto"/>
        <w:jc w:val="both"/>
        <w:rPr>
          <w:color w:val="auto"/>
        </w:rPr>
      </w:pPr>
      <w:r w:rsidRPr="00AC5D57">
        <w:rPr>
          <w:color w:val="auto"/>
        </w:rPr>
        <w:t xml:space="preserve">Piaci körülmények megváltozása lehet például: irányadó kamatláb változása, devizaárfolyamok </w:t>
      </w:r>
      <w:r w:rsidR="00626828">
        <w:rPr>
          <w:color w:val="auto"/>
        </w:rPr>
        <w:t>vagy részvényindexek módosulása</w:t>
      </w:r>
      <w:r w:rsidRPr="00AC5D57">
        <w:rPr>
          <w:color w:val="auto"/>
        </w:rPr>
        <w:t xml:space="preserve"> stb.</w:t>
      </w:r>
    </w:p>
    <w:p w:rsidR="00FF0C9A" w:rsidRPr="00AC5D57" w:rsidRDefault="00FF0C9A" w:rsidP="00FF0C9A">
      <w:pPr>
        <w:pStyle w:val="Default"/>
        <w:spacing w:after="120" w:line="360" w:lineRule="auto"/>
        <w:jc w:val="both"/>
        <w:rPr>
          <w:color w:val="auto"/>
        </w:rPr>
      </w:pPr>
      <w:r w:rsidRPr="00AC5D57">
        <w:rPr>
          <w:color w:val="auto"/>
        </w:rPr>
        <w:t>Ha csak egyetlen piaci körülmény (mondjuk az irányadó kamatláb) megváltozásából eredő értékváltozás van, akkor a következőképpen számolható ki maradékelven a saját hitelezési kockázat:</w:t>
      </w:r>
    </w:p>
    <w:p w:rsidR="00FF0C9A" w:rsidRPr="00AC5D57" w:rsidRDefault="00FF0C9A" w:rsidP="00174EBB">
      <w:pPr>
        <w:pStyle w:val="Default"/>
        <w:numPr>
          <w:ilvl w:val="0"/>
          <w:numId w:val="14"/>
        </w:numPr>
        <w:spacing w:after="120" w:line="360" w:lineRule="auto"/>
        <w:ind w:left="924" w:hanging="357"/>
        <w:jc w:val="both"/>
        <w:rPr>
          <w:color w:val="auto"/>
        </w:rPr>
      </w:pPr>
      <w:r w:rsidRPr="00AC5D57">
        <w:rPr>
          <w:color w:val="auto"/>
        </w:rPr>
        <w:t>Az időszak elején érvényes valós értékből és a várható cash flow-kból számoljuk ki a belső megtérülési rátát. Ebből levonva az időszak eleji irányadó kamatlábat, megkapjuk a kockázati felárat.</w:t>
      </w:r>
    </w:p>
    <w:p w:rsidR="00FF0C9A" w:rsidRPr="00AC5D57" w:rsidRDefault="00FF0C9A" w:rsidP="00174EBB">
      <w:pPr>
        <w:pStyle w:val="Default"/>
        <w:numPr>
          <w:ilvl w:val="0"/>
          <w:numId w:val="14"/>
        </w:numPr>
        <w:spacing w:after="120" w:line="360" w:lineRule="auto"/>
        <w:ind w:left="924" w:hanging="357"/>
        <w:jc w:val="both"/>
        <w:rPr>
          <w:color w:val="auto"/>
        </w:rPr>
      </w:pPr>
      <w:r w:rsidRPr="00AC5D57">
        <w:rPr>
          <w:color w:val="auto"/>
        </w:rPr>
        <w:t>Az időszak végén érvényes szerződéses cash flow-kat diszkontáljuk egyszer a belső megtérülési rátával, illetve másodszor az időszak végi irányadó kamatláb + a kockázati felár összegével.</w:t>
      </w:r>
    </w:p>
    <w:p w:rsidR="00FF0C9A" w:rsidRPr="00AC5D57" w:rsidRDefault="00FF0C9A" w:rsidP="00174EBB">
      <w:pPr>
        <w:pStyle w:val="Default"/>
        <w:numPr>
          <w:ilvl w:val="0"/>
          <w:numId w:val="14"/>
        </w:numPr>
        <w:spacing w:after="120" w:line="360" w:lineRule="auto"/>
        <w:ind w:left="924" w:hanging="357"/>
        <w:jc w:val="both"/>
        <w:rPr>
          <w:color w:val="auto"/>
        </w:rPr>
      </w:pPr>
      <w:r w:rsidRPr="00AC5D57">
        <w:rPr>
          <w:color w:val="auto"/>
        </w:rPr>
        <w:t>A kiszámolt két jelenérték különbsége lesz az irányadó kamatláb megváltozásából eredő értékváltozás (piaci komponens).</w:t>
      </w:r>
    </w:p>
    <w:p w:rsidR="00FF0C9A" w:rsidRPr="00AC5D57" w:rsidRDefault="00FF0C9A" w:rsidP="00174EBB">
      <w:pPr>
        <w:pStyle w:val="Default"/>
        <w:numPr>
          <w:ilvl w:val="0"/>
          <w:numId w:val="14"/>
        </w:numPr>
        <w:spacing w:after="240" w:line="360" w:lineRule="auto"/>
        <w:ind w:left="924" w:hanging="357"/>
        <w:jc w:val="both"/>
        <w:rPr>
          <w:color w:val="auto"/>
        </w:rPr>
      </w:pPr>
      <w:r w:rsidRPr="00AC5D57">
        <w:rPr>
          <w:color w:val="auto"/>
        </w:rPr>
        <w:t>A teljes értékváltozásból levonva a 3. pontban számolt értéket, megkapjuk a hitelezési kockázattal összefüggő értékváltozást.</w:t>
      </w:r>
    </w:p>
    <w:p w:rsidR="00FF0C9A" w:rsidRPr="00AC5D57" w:rsidRDefault="00FF0C9A" w:rsidP="00FF0C9A">
      <w:pPr>
        <w:pStyle w:val="Cmsor3"/>
      </w:pPr>
      <w:bookmarkStart w:id="20" w:name="_Toc434181029"/>
      <w:bookmarkStart w:id="21" w:name="_Toc434689801"/>
      <w:r w:rsidRPr="00AC5D57">
        <w:t>Átsorolások</w:t>
      </w:r>
      <w:bookmarkEnd w:id="20"/>
      <w:bookmarkEnd w:id="21"/>
    </w:p>
    <w:p w:rsidR="00626828" w:rsidRDefault="00626828" w:rsidP="00626828">
      <w:pPr>
        <w:pStyle w:val="Default"/>
        <w:jc w:val="both"/>
        <w:rPr>
          <w:color w:val="auto"/>
        </w:rPr>
      </w:pPr>
    </w:p>
    <w:p w:rsidR="00FF0C9A" w:rsidRPr="00AC5D57" w:rsidRDefault="00FF0C9A" w:rsidP="00626828">
      <w:pPr>
        <w:pStyle w:val="Default"/>
        <w:spacing w:line="360" w:lineRule="auto"/>
        <w:jc w:val="both"/>
        <w:rPr>
          <w:color w:val="auto"/>
        </w:rPr>
      </w:pPr>
      <w:r w:rsidRPr="00AC5D57">
        <w:rPr>
          <w:color w:val="auto"/>
        </w:rPr>
        <w:t xml:space="preserve">A pénzügyi </w:t>
      </w:r>
      <w:r w:rsidRPr="003E0011">
        <w:rPr>
          <w:b/>
          <w:color w:val="auto"/>
        </w:rPr>
        <w:t>kötelezettségek</w:t>
      </w:r>
      <w:r w:rsidRPr="00AC5D57">
        <w:rPr>
          <w:color w:val="auto"/>
        </w:rPr>
        <w:t xml:space="preserve"> átsorolását az IFRS 9 standard </w:t>
      </w:r>
      <w:r w:rsidRPr="003E0011">
        <w:rPr>
          <w:b/>
          <w:color w:val="auto"/>
        </w:rPr>
        <w:t>nem</w:t>
      </w:r>
      <w:r w:rsidRPr="00AC5D57">
        <w:rPr>
          <w:color w:val="auto"/>
        </w:rPr>
        <w:t xml:space="preserve"> engedélyezi, csak a pénzügyi eszközökét.</w:t>
      </w:r>
    </w:p>
    <w:p w:rsidR="00FF0C9A" w:rsidRPr="00AC5D57" w:rsidRDefault="00FF0C9A" w:rsidP="00FF0C9A">
      <w:pPr>
        <w:pStyle w:val="Default"/>
        <w:spacing w:after="120" w:line="360" w:lineRule="auto"/>
        <w:jc w:val="both"/>
        <w:rPr>
          <w:color w:val="auto"/>
        </w:rPr>
      </w:pPr>
      <w:r w:rsidRPr="00AC5D57">
        <w:rPr>
          <w:color w:val="auto"/>
        </w:rPr>
        <w:t xml:space="preserve">A pénzügyi </w:t>
      </w:r>
      <w:r w:rsidRPr="003E0011">
        <w:rPr>
          <w:b/>
          <w:color w:val="auto"/>
        </w:rPr>
        <w:t>eszközök</w:t>
      </w:r>
      <w:r w:rsidRPr="00AC5D57">
        <w:rPr>
          <w:color w:val="auto"/>
        </w:rPr>
        <w:t xml:space="preserve"> átsorolására akkor és csak akkor van lehetőség, ha a gazdálkodó egység </w:t>
      </w:r>
      <w:r w:rsidRPr="003E0011">
        <w:rPr>
          <w:b/>
          <w:color w:val="auto"/>
        </w:rPr>
        <w:t>megváltoztatja</w:t>
      </w:r>
      <w:r w:rsidRPr="00AC5D57">
        <w:rPr>
          <w:color w:val="auto"/>
        </w:rPr>
        <w:t xml:space="preserve"> az adott pénzügyi eszközre vonatkozó </w:t>
      </w:r>
      <w:r w:rsidRPr="00AC5D57">
        <w:rPr>
          <w:b/>
          <w:color w:val="auto"/>
        </w:rPr>
        <w:t>üzleti modelljének célját</w:t>
      </w:r>
      <w:r w:rsidRPr="00AC5D57">
        <w:rPr>
          <w:color w:val="auto"/>
        </w:rPr>
        <w:t>.</w:t>
      </w:r>
    </w:p>
    <w:p w:rsidR="00FF0C9A" w:rsidRPr="00AC5D57" w:rsidRDefault="00FF0C9A" w:rsidP="00FF0C9A">
      <w:pPr>
        <w:pStyle w:val="Default"/>
        <w:spacing w:after="120" w:line="360" w:lineRule="auto"/>
        <w:jc w:val="both"/>
        <w:rPr>
          <w:color w:val="auto"/>
        </w:rPr>
      </w:pPr>
      <w:r w:rsidRPr="00AC5D57">
        <w:rPr>
          <w:color w:val="auto"/>
        </w:rPr>
        <w:t>Az üzleti modell megváltozásának meg kell előznie az átsorolást, az átsorolás napjának az üzleti modell megváltozása utáni első beszámolási időszak első napja számít.</w:t>
      </w:r>
    </w:p>
    <w:p w:rsidR="00FF0C9A" w:rsidRPr="00AC5D57" w:rsidRDefault="00FF0C9A" w:rsidP="00FF0C9A">
      <w:pPr>
        <w:pStyle w:val="Default"/>
        <w:spacing w:after="120" w:line="360" w:lineRule="auto"/>
        <w:jc w:val="both"/>
        <w:rPr>
          <w:color w:val="auto"/>
        </w:rPr>
      </w:pPr>
      <w:r w:rsidRPr="00AC5D57">
        <w:rPr>
          <w:color w:val="auto"/>
        </w:rPr>
        <w:t>Az átsorolásoknál a korábban elszámolt nyereségeket/veszteségeket vagy kamatokat nem kell ismételten megállapítani (és közzétenni).</w:t>
      </w:r>
    </w:p>
    <w:p w:rsidR="00FF0C9A" w:rsidRPr="00AC5D57" w:rsidRDefault="00FF0C9A" w:rsidP="00D74D7C">
      <w:pPr>
        <w:pStyle w:val="Default"/>
        <w:spacing w:line="360" w:lineRule="auto"/>
        <w:jc w:val="both"/>
        <w:rPr>
          <w:color w:val="auto"/>
        </w:rPr>
      </w:pPr>
      <w:r w:rsidRPr="00AC5D57">
        <w:rPr>
          <w:color w:val="auto"/>
        </w:rPr>
        <w:t>Az átsorolások elszámolásának szabályai:</w:t>
      </w:r>
    </w:p>
    <w:p w:rsidR="00FF0C9A" w:rsidRPr="00AC5D57" w:rsidRDefault="00FF0C9A" w:rsidP="00D74D7C">
      <w:pPr>
        <w:pStyle w:val="Default"/>
        <w:numPr>
          <w:ilvl w:val="0"/>
          <w:numId w:val="15"/>
        </w:numPr>
        <w:spacing w:line="360" w:lineRule="auto"/>
        <w:ind w:left="924" w:hanging="357"/>
        <w:jc w:val="both"/>
        <w:rPr>
          <w:color w:val="auto"/>
        </w:rPr>
      </w:pPr>
      <w:proofErr w:type="spellStart"/>
      <w:r w:rsidRPr="00AC5D57">
        <w:rPr>
          <w:color w:val="auto"/>
        </w:rPr>
        <w:t>FVTPL-ről</w:t>
      </w:r>
      <w:proofErr w:type="spellEnd"/>
      <w:r w:rsidRPr="00AC5D57">
        <w:rPr>
          <w:color w:val="auto"/>
        </w:rPr>
        <w:t xml:space="preserve"> amortizált bekerülési értékre való áttérés:</w:t>
      </w:r>
    </w:p>
    <w:p w:rsidR="00FF0C9A" w:rsidRPr="00AC5D57" w:rsidRDefault="00FF0C9A" w:rsidP="00D74D7C">
      <w:pPr>
        <w:pStyle w:val="Default"/>
        <w:numPr>
          <w:ilvl w:val="1"/>
          <w:numId w:val="15"/>
        </w:numPr>
        <w:spacing w:line="360" w:lineRule="auto"/>
        <w:ind w:left="1491" w:hanging="357"/>
        <w:jc w:val="both"/>
        <w:rPr>
          <w:color w:val="auto"/>
        </w:rPr>
      </w:pPr>
      <w:r w:rsidRPr="00AC5D57">
        <w:rPr>
          <w:color w:val="auto"/>
        </w:rPr>
        <w:t>az „új” amortizált bekerülési értéke az eszköznek az áttérés napján érvényes valós értéke lesz</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„új” amortizált bekerülési érték és a lejáratkori összeg közötti különbséget az effektív kamatláb módszerrel fel kell osztani a lejáratig hátralévő időre</w:t>
      </w:r>
    </w:p>
    <w:p w:rsidR="00FF0C9A" w:rsidRPr="00AC5D57" w:rsidRDefault="00FF0C9A" w:rsidP="00D74D7C">
      <w:pPr>
        <w:pStyle w:val="Default"/>
        <w:numPr>
          <w:ilvl w:val="0"/>
          <w:numId w:val="15"/>
        </w:numPr>
        <w:spacing w:line="360" w:lineRule="auto"/>
        <w:ind w:left="924" w:hanging="357"/>
        <w:jc w:val="both"/>
        <w:rPr>
          <w:color w:val="auto"/>
        </w:rPr>
      </w:pPr>
      <w:r w:rsidRPr="00AC5D57">
        <w:rPr>
          <w:color w:val="auto"/>
        </w:rPr>
        <w:t xml:space="preserve">Amortizált bekerülési értékről </w:t>
      </w:r>
      <w:proofErr w:type="spellStart"/>
      <w:r w:rsidRPr="00AC5D57">
        <w:rPr>
          <w:color w:val="auto"/>
        </w:rPr>
        <w:t>FVTPL-re</w:t>
      </w:r>
      <w:proofErr w:type="spellEnd"/>
      <w:r w:rsidRPr="00AC5D57">
        <w:rPr>
          <w:color w:val="auto"/>
        </w:rPr>
        <w:t xml:space="preserve"> való áttérés:</w:t>
      </w:r>
    </w:p>
    <w:p w:rsidR="00FF0C9A" w:rsidRPr="00AC5D57" w:rsidRDefault="00FF0C9A" w:rsidP="00D74D7C">
      <w:pPr>
        <w:pStyle w:val="Default"/>
        <w:numPr>
          <w:ilvl w:val="1"/>
          <w:numId w:val="15"/>
        </w:numPr>
        <w:spacing w:line="360" w:lineRule="auto"/>
        <w:ind w:left="1491" w:hanging="357"/>
        <w:jc w:val="both"/>
        <w:rPr>
          <w:color w:val="auto"/>
        </w:rPr>
      </w:pPr>
      <w:r w:rsidRPr="00AC5D57">
        <w:rPr>
          <w:color w:val="auto"/>
        </w:rPr>
        <w:t>az átsorolás napjára az eszközt újraértékeljük</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újraértékelésből adódó különbözet az eredménnyel szemben számolódik el</w:t>
      </w:r>
    </w:p>
    <w:p w:rsidR="00FF0C9A" w:rsidRPr="00AC5D57" w:rsidRDefault="00FF0C9A" w:rsidP="00174EBB">
      <w:pPr>
        <w:pStyle w:val="Default"/>
        <w:numPr>
          <w:ilvl w:val="0"/>
          <w:numId w:val="15"/>
        </w:numPr>
        <w:spacing w:after="120" w:line="360" w:lineRule="auto"/>
        <w:ind w:left="924" w:hanging="357"/>
        <w:jc w:val="both"/>
        <w:rPr>
          <w:color w:val="auto"/>
        </w:rPr>
      </w:pPr>
      <w:r w:rsidRPr="00AC5D57">
        <w:rPr>
          <w:color w:val="auto"/>
        </w:rPr>
        <w:t xml:space="preserve">Amortizált bekerülési értékről </w:t>
      </w:r>
      <w:proofErr w:type="spellStart"/>
      <w:r w:rsidRPr="00AC5D57">
        <w:rPr>
          <w:color w:val="auto"/>
        </w:rPr>
        <w:t>FVTOCI-ra</w:t>
      </w:r>
      <w:proofErr w:type="spellEnd"/>
      <w:r w:rsidRPr="00AC5D57">
        <w:rPr>
          <w:color w:val="auto"/>
        </w:rPr>
        <w:t xml:space="preserve"> való áttérés:</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áttérés napjára az eszközt újraértékeljük</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újraértékelésből adódó különbözet az egyéb átfogó eredménnyel szemben kerül elszámolásra</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effektív kamatlábat nem kell kiigazítani az áttérés következtében</w:t>
      </w:r>
    </w:p>
    <w:p w:rsidR="00FF0C9A" w:rsidRPr="00AC5D57" w:rsidRDefault="00FF0C9A" w:rsidP="00174EBB">
      <w:pPr>
        <w:pStyle w:val="Default"/>
        <w:numPr>
          <w:ilvl w:val="0"/>
          <w:numId w:val="15"/>
        </w:numPr>
        <w:spacing w:after="120" w:line="360" w:lineRule="auto"/>
        <w:ind w:left="924" w:hanging="357"/>
        <w:jc w:val="both"/>
        <w:rPr>
          <w:color w:val="auto"/>
        </w:rPr>
      </w:pPr>
      <w:proofErr w:type="spellStart"/>
      <w:r w:rsidRPr="00AC5D57">
        <w:rPr>
          <w:color w:val="auto"/>
        </w:rPr>
        <w:t>FVTOCI-ról</w:t>
      </w:r>
      <w:proofErr w:type="spellEnd"/>
      <w:r w:rsidRPr="00AC5D57">
        <w:rPr>
          <w:color w:val="auto"/>
        </w:rPr>
        <w:t xml:space="preserve"> amortizált bekerülési értékre való áttérés:</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átsorolás napjára az eszközt újraértékeljük</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 xml:space="preserve">az átsorolás napjáig az egyéb </w:t>
      </w:r>
      <w:proofErr w:type="gramStart"/>
      <w:r w:rsidRPr="00AC5D57">
        <w:rPr>
          <w:color w:val="auto"/>
        </w:rPr>
        <w:t>átfogó</w:t>
      </w:r>
      <w:proofErr w:type="gramEnd"/>
      <w:r w:rsidRPr="00AC5D57">
        <w:rPr>
          <w:color w:val="auto"/>
        </w:rPr>
        <w:t xml:space="preserve"> eredménnyel szemben elszámolt kumulált összeget ki kell vezetni a tőkéből és ki kell vele igazítani az eszköz valós értékét az átsorolás napján</w:t>
      </w:r>
      <w:r w:rsidRPr="00AC5D57">
        <w:rPr>
          <w:rStyle w:val="Lbjegyzet-hivatkozs"/>
          <w:color w:val="auto"/>
        </w:rPr>
        <w:footnoteReference w:id="11"/>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effektív kamatlábat nem kell kiigazítani az átsorolás következtében</w:t>
      </w:r>
    </w:p>
    <w:p w:rsidR="00FF0C9A" w:rsidRPr="00AC5D57" w:rsidRDefault="00FF0C9A" w:rsidP="00174EBB">
      <w:pPr>
        <w:pStyle w:val="Default"/>
        <w:numPr>
          <w:ilvl w:val="0"/>
          <w:numId w:val="15"/>
        </w:numPr>
        <w:spacing w:after="120" w:line="360" w:lineRule="auto"/>
        <w:ind w:left="924" w:hanging="357"/>
        <w:jc w:val="both"/>
        <w:rPr>
          <w:color w:val="auto"/>
        </w:rPr>
      </w:pPr>
      <w:proofErr w:type="spellStart"/>
      <w:r w:rsidRPr="00AC5D57">
        <w:rPr>
          <w:color w:val="auto"/>
        </w:rPr>
        <w:t>FVTPL-ről</w:t>
      </w:r>
      <w:proofErr w:type="spellEnd"/>
      <w:r w:rsidRPr="00AC5D57">
        <w:rPr>
          <w:color w:val="auto"/>
        </w:rPr>
        <w:t xml:space="preserve"> </w:t>
      </w:r>
      <w:proofErr w:type="spellStart"/>
      <w:r w:rsidRPr="00AC5D57">
        <w:rPr>
          <w:color w:val="auto"/>
        </w:rPr>
        <w:t>FVTOCI-ra</w:t>
      </w:r>
      <w:proofErr w:type="spellEnd"/>
      <w:r w:rsidRPr="00AC5D57">
        <w:rPr>
          <w:color w:val="auto"/>
        </w:rPr>
        <w:t xml:space="preserve"> való áttérés:</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„új” értéke az eszköznek az áttérés napján érvényes valós értéke lesz</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az effektív kamatlábat újra kell kalkulálni</w:t>
      </w:r>
    </w:p>
    <w:p w:rsidR="00FF0C9A" w:rsidRPr="00AC5D57" w:rsidRDefault="00FF0C9A" w:rsidP="00174EBB">
      <w:pPr>
        <w:pStyle w:val="Default"/>
        <w:numPr>
          <w:ilvl w:val="1"/>
          <w:numId w:val="15"/>
        </w:numPr>
        <w:spacing w:after="120" w:line="360" w:lineRule="auto"/>
        <w:ind w:left="1491" w:hanging="357"/>
        <w:jc w:val="both"/>
        <w:rPr>
          <w:color w:val="auto"/>
        </w:rPr>
      </w:pPr>
      <w:r w:rsidRPr="00AC5D57">
        <w:rPr>
          <w:color w:val="auto"/>
        </w:rPr>
        <w:t>a valós érték változásai innentől kezdve az egyéb átfogó eredménnyel szemben kerülnek elszámolásra</w:t>
      </w:r>
    </w:p>
    <w:p w:rsidR="00FF0C9A" w:rsidRPr="00AC5D57" w:rsidRDefault="00FF0C9A" w:rsidP="00174EBB">
      <w:pPr>
        <w:pStyle w:val="Default"/>
        <w:numPr>
          <w:ilvl w:val="0"/>
          <w:numId w:val="15"/>
        </w:numPr>
        <w:spacing w:after="120" w:line="360" w:lineRule="auto"/>
        <w:ind w:left="924" w:hanging="357"/>
        <w:jc w:val="both"/>
        <w:rPr>
          <w:color w:val="auto"/>
        </w:rPr>
      </w:pPr>
      <w:proofErr w:type="spellStart"/>
      <w:r w:rsidRPr="00AC5D57">
        <w:rPr>
          <w:color w:val="auto"/>
        </w:rPr>
        <w:t>FVTOCI-ról</w:t>
      </w:r>
      <w:proofErr w:type="spellEnd"/>
      <w:r w:rsidRPr="00AC5D57">
        <w:rPr>
          <w:color w:val="auto"/>
        </w:rPr>
        <w:t xml:space="preserve"> </w:t>
      </w:r>
      <w:proofErr w:type="spellStart"/>
      <w:r w:rsidRPr="00AC5D57">
        <w:rPr>
          <w:color w:val="auto"/>
        </w:rPr>
        <w:t>FVTPL-re</w:t>
      </w:r>
      <w:proofErr w:type="spellEnd"/>
      <w:r w:rsidRPr="00AC5D57">
        <w:rPr>
          <w:color w:val="auto"/>
        </w:rPr>
        <w:t xml:space="preserve"> való áttérés:</w:t>
      </w:r>
    </w:p>
    <w:p w:rsidR="00FF0C9A" w:rsidRPr="00AC5D57" w:rsidRDefault="00FF0C9A" w:rsidP="00174EBB">
      <w:pPr>
        <w:pStyle w:val="Default"/>
        <w:numPr>
          <w:ilvl w:val="0"/>
          <w:numId w:val="16"/>
        </w:numPr>
        <w:spacing w:after="120" w:line="360" w:lineRule="auto"/>
        <w:ind w:left="1491" w:hanging="357"/>
        <w:jc w:val="both"/>
        <w:rPr>
          <w:color w:val="auto"/>
        </w:rPr>
      </w:pPr>
      <w:r w:rsidRPr="00AC5D57">
        <w:rPr>
          <w:color w:val="auto"/>
        </w:rPr>
        <w:t>az eszköz valós értéken történő értékelése folytatódik</w:t>
      </w:r>
    </w:p>
    <w:p w:rsidR="00FF0C9A" w:rsidRPr="00AC5D57" w:rsidRDefault="00FF0C9A" w:rsidP="00174EBB">
      <w:pPr>
        <w:pStyle w:val="Default"/>
        <w:numPr>
          <w:ilvl w:val="0"/>
          <w:numId w:val="16"/>
        </w:numPr>
        <w:spacing w:after="240" w:line="360" w:lineRule="auto"/>
        <w:ind w:left="1491" w:hanging="357"/>
        <w:jc w:val="both"/>
        <w:rPr>
          <w:color w:val="auto"/>
        </w:rPr>
      </w:pPr>
      <w:r w:rsidRPr="00AC5D57">
        <w:rPr>
          <w:color w:val="auto"/>
        </w:rPr>
        <w:t xml:space="preserve">az áttérés napjáig az egyéb </w:t>
      </w:r>
      <w:proofErr w:type="gramStart"/>
      <w:r w:rsidRPr="00AC5D57">
        <w:rPr>
          <w:color w:val="auto"/>
        </w:rPr>
        <w:t>átfogó</w:t>
      </w:r>
      <w:proofErr w:type="gramEnd"/>
      <w:r w:rsidRPr="00AC5D57">
        <w:rPr>
          <w:color w:val="auto"/>
        </w:rPr>
        <w:t xml:space="preserve"> eredménnyel szemben elszámolt kumulált összeget ki kell vezetni a tőkéből és az eredménnyel szemben el kell számolni az áttérés napján.</w:t>
      </w:r>
    </w:p>
    <w:p w:rsidR="00FF0C9A" w:rsidRPr="00AC5D57" w:rsidRDefault="00FF0C9A" w:rsidP="00FF0C9A">
      <w:pPr>
        <w:rPr>
          <w:rFonts w:ascii="Times New Roman" w:hAnsi="Times New Roman" w:cs="Times New Roman"/>
          <w:sz w:val="24"/>
          <w:szCs w:val="24"/>
        </w:rPr>
      </w:pPr>
      <w:r w:rsidRPr="00AC5D57">
        <w:rPr>
          <w:rFonts w:ascii="Times New Roman" w:hAnsi="Times New Roman" w:cs="Times New Roman"/>
        </w:rPr>
        <w:br w:type="page"/>
      </w:r>
    </w:p>
    <w:p w:rsidR="00FF0C9A" w:rsidRPr="00915650" w:rsidRDefault="00FF0C9A" w:rsidP="00FF0C9A">
      <w:pPr>
        <w:pStyle w:val="Cmsor2"/>
      </w:pPr>
      <w:bookmarkStart w:id="22" w:name="_Toc434181030"/>
      <w:bookmarkStart w:id="23" w:name="_Toc434689802"/>
      <w:r w:rsidRPr="00915650">
        <w:t>Értékvesztés</w:t>
      </w:r>
      <w:bookmarkEnd w:id="22"/>
      <w:bookmarkEnd w:id="23"/>
    </w:p>
    <w:p w:rsidR="00D74D7C" w:rsidRDefault="00D74D7C" w:rsidP="00FF0C9A">
      <w:pPr>
        <w:autoSpaceDE w:val="0"/>
        <w:autoSpaceDN w:val="0"/>
        <w:adjustRightInd w:val="0"/>
        <w:spacing w:after="120" w:line="36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w:t>
      </w:r>
      <w:r w:rsidRPr="0045783D">
        <w:rPr>
          <w:rFonts w:ascii="Times New Roman" w:hAnsi="Times New Roman" w:cs="Times New Roman"/>
          <w:b/>
          <w:sz w:val="24"/>
          <w:szCs w:val="24"/>
        </w:rPr>
        <w:t>IAS 39</w:t>
      </w:r>
      <w:r w:rsidRPr="00AC5D57">
        <w:rPr>
          <w:rFonts w:ascii="Times New Roman" w:hAnsi="Times New Roman" w:cs="Times New Roman"/>
          <w:sz w:val="24"/>
          <w:szCs w:val="24"/>
        </w:rPr>
        <w:t xml:space="preserve"> standard értékvesztési modelljében </w:t>
      </w:r>
      <w:r w:rsidRPr="0045783D">
        <w:rPr>
          <w:rFonts w:ascii="Times New Roman" w:hAnsi="Times New Roman" w:cs="Times New Roman"/>
          <w:b/>
          <w:sz w:val="24"/>
          <w:szCs w:val="24"/>
        </w:rPr>
        <w:t>objektív bizonyítékoknak</w:t>
      </w:r>
      <w:r w:rsidRPr="00AC5D57">
        <w:rPr>
          <w:rFonts w:ascii="Times New Roman" w:hAnsi="Times New Roman" w:cs="Times New Roman"/>
          <w:sz w:val="24"/>
          <w:szCs w:val="24"/>
        </w:rPr>
        <w:t xml:space="preserve"> kellett rendelkezésre állnia ahhoz, hogy egy adott pénzügyi </w:t>
      </w:r>
      <w:proofErr w:type="gramStart"/>
      <w:r w:rsidRPr="00AC5D57">
        <w:rPr>
          <w:rFonts w:ascii="Times New Roman" w:hAnsi="Times New Roman" w:cs="Times New Roman"/>
          <w:sz w:val="24"/>
          <w:szCs w:val="24"/>
        </w:rPr>
        <w:t>eszköz(</w:t>
      </w:r>
      <w:proofErr w:type="spellStart"/>
      <w:proofErr w:type="gramEnd"/>
      <w:r w:rsidRPr="00AC5D57">
        <w:rPr>
          <w:rFonts w:ascii="Times New Roman" w:hAnsi="Times New Roman" w:cs="Times New Roman"/>
          <w:sz w:val="24"/>
          <w:szCs w:val="24"/>
        </w:rPr>
        <w:t>ök</w:t>
      </w:r>
      <w:proofErr w:type="spellEnd"/>
      <w:r w:rsidRPr="00AC5D57">
        <w:rPr>
          <w:rFonts w:ascii="Times New Roman" w:hAnsi="Times New Roman" w:cs="Times New Roman"/>
          <w:sz w:val="24"/>
          <w:szCs w:val="24"/>
        </w:rPr>
        <w:t>)</w:t>
      </w:r>
      <w:proofErr w:type="spellStart"/>
      <w:r w:rsidRPr="00AC5D57">
        <w:rPr>
          <w:rFonts w:ascii="Times New Roman" w:hAnsi="Times New Roman" w:cs="Times New Roman"/>
          <w:sz w:val="24"/>
          <w:szCs w:val="24"/>
        </w:rPr>
        <w:t>höz</w:t>
      </w:r>
      <w:proofErr w:type="spellEnd"/>
      <w:r w:rsidRPr="00AC5D57">
        <w:rPr>
          <w:rFonts w:ascii="Times New Roman" w:hAnsi="Times New Roman" w:cs="Times New Roman"/>
          <w:sz w:val="24"/>
          <w:szCs w:val="24"/>
        </w:rPr>
        <w:t xml:space="preserve"> kapcsolódó értékvesztést el lehessen számolni. Ennél fogva a modell csak a ténylegesen (bizonyítékokkal alátámasztottan) felmerült veszteségeket tudta kezelni, a várhatóan bekövetkezőeket nem.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2008-as pénzügyi és gazdasági válság rávilágított arra, hogy az IAS 39 „felmerült veszteségek” értékvesztési modellje nem megfelelő, mert többek között a pénzügyi eszközökkel kapcsolatos hitelezési veszteségek </w:t>
      </w:r>
      <w:r w:rsidRPr="0045783D">
        <w:rPr>
          <w:rFonts w:ascii="Times New Roman" w:hAnsi="Times New Roman" w:cs="Times New Roman"/>
          <w:b/>
          <w:sz w:val="24"/>
          <w:szCs w:val="24"/>
        </w:rPr>
        <w:t xml:space="preserve">késedelmesen </w:t>
      </w:r>
      <w:r w:rsidRPr="00AC5D57">
        <w:rPr>
          <w:rFonts w:ascii="Times New Roman" w:hAnsi="Times New Roman" w:cs="Times New Roman"/>
          <w:sz w:val="24"/>
          <w:szCs w:val="24"/>
        </w:rPr>
        <w:t>kerülnek benne kimutatásra, amikor már túl késő.</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IASB erre reagálva egy új értékvesztési modellt dolgozott ki az IFRS 9 standardban, az úgynevezett „</w:t>
      </w:r>
      <w:r w:rsidRPr="00AC5D57">
        <w:rPr>
          <w:rFonts w:ascii="Times New Roman" w:hAnsi="Times New Roman" w:cs="Times New Roman"/>
          <w:b/>
          <w:sz w:val="24"/>
          <w:szCs w:val="24"/>
        </w:rPr>
        <w:t xml:space="preserve">várható </w:t>
      </w:r>
      <w:r w:rsidRPr="0045783D">
        <w:rPr>
          <w:rFonts w:ascii="Times New Roman" w:hAnsi="Times New Roman" w:cs="Times New Roman"/>
          <w:b/>
          <w:sz w:val="24"/>
          <w:szCs w:val="24"/>
        </w:rPr>
        <w:t>hitelezési veszteségek</w:t>
      </w:r>
      <w:r w:rsidRPr="00AC5D57">
        <w:rPr>
          <w:rFonts w:ascii="Times New Roman" w:hAnsi="Times New Roman" w:cs="Times New Roman"/>
          <w:sz w:val="24"/>
          <w:szCs w:val="24"/>
        </w:rPr>
        <w:t>” modelljét, amely naprakészebben megköveteli a hitelezési veszteségek kimutatását (rögtön el kell számolni a – diszkontált és valószínűséggel kiegészített – várható összegeket), előrébb hozza őket az időben.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Leegyszerűsítve az új modell </w:t>
      </w:r>
      <w:r w:rsidRPr="0045783D">
        <w:rPr>
          <w:rFonts w:ascii="Times New Roman" w:hAnsi="Times New Roman" w:cs="Times New Roman"/>
          <w:b/>
          <w:sz w:val="24"/>
          <w:szCs w:val="24"/>
        </w:rPr>
        <w:t>kettős értékelési megközelítést</w:t>
      </w:r>
      <w:r w:rsidRPr="00AC5D57">
        <w:rPr>
          <w:rFonts w:ascii="Times New Roman" w:hAnsi="Times New Roman" w:cs="Times New Roman"/>
          <w:sz w:val="24"/>
          <w:szCs w:val="24"/>
        </w:rPr>
        <w:t xml:space="preserve"> tartalmaz, a hitelezési kockázat változásának mértékétől teszi függővé az értékvesztés számítását:</w:t>
      </w:r>
    </w:p>
    <w:p w:rsidR="00FF0C9A" w:rsidRPr="00AC5D57" w:rsidRDefault="00FF0C9A" w:rsidP="00174EBB">
      <w:pPr>
        <w:pStyle w:val="Listaszerbekezds"/>
        <w:numPr>
          <w:ilvl w:val="0"/>
          <w:numId w:val="2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ha az adott pénzügyi eszköz hitelezési kockázata a kezdeti megjelenítése óta nem nőtt meg jelentősen, akkor </w:t>
      </w:r>
      <w:r w:rsidRPr="0045783D">
        <w:rPr>
          <w:rFonts w:ascii="Times New Roman" w:hAnsi="Times New Roman" w:cs="Times New Roman"/>
          <w:b/>
          <w:sz w:val="24"/>
          <w:szCs w:val="24"/>
        </w:rPr>
        <w:t>12 havi</w:t>
      </w:r>
      <w:r w:rsidRPr="00AC5D57">
        <w:rPr>
          <w:rFonts w:ascii="Times New Roman" w:hAnsi="Times New Roman" w:cs="Times New Roman"/>
          <w:sz w:val="24"/>
          <w:szCs w:val="24"/>
        </w:rPr>
        <w:t xml:space="preserve"> várható hitelezési veszteségekkel kell az eszköz kapcsán számolni</w:t>
      </w:r>
    </w:p>
    <w:p w:rsidR="00FF0C9A" w:rsidRPr="00AC5D57" w:rsidRDefault="00FF0C9A" w:rsidP="00174EBB">
      <w:pPr>
        <w:pStyle w:val="Listaszerbekezds"/>
        <w:numPr>
          <w:ilvl w:val="0"/>
          <w:numId w:val="28"/>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ha az adott pénzügyi eszközre vonatkozó hitelezési kockázat jelentősen megnőtt a bekerülése óta, akkor az eszköz </w:t>
      </w:r>
      <w:r w:rsidRPr="0045783D">
        <w:rPr>
          <w:rFonts w:ascii="Times New Roman" w:hAnsi="Times New Roman" w:cs="Times New Roman"/>
          <w:b/>
          <w:sz w:val="24"/>
          <w:szCs w:val="24"/>
        </w:rPr>
        <w:t>teljes élettartama</w:t>
      </w:r>
      <w:r w:rsidRPr="00AC5D57">
        <w:rPr>
          <w:rFonts w:ascii="Times New Roman" w:hAnsi="Times New Roman" w:cs="Times New Roman"/>
          <w:sz w:val="24"/>
          <w:szCs w:val="24"/>
        </w:rPr>
        <w:t xml:space="preserve"> alatti várható hitelezési veszteségeket kell figyelembe venni annak értékvesztése kapcsán.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új modell főbb </w:t>
      </w:r>
      <w:r w:rsidRPr="0045783D">
        <w:rPr>
          <w:rFonts w:ascii="Times New Roman" w:hAnsi="Times New Roman" w:cs="Times New Roman"/>
          <w:b/>
          <w:sz w:val="24"/>
          <w:szCs w:val="24"/>
        </w:rPr>
        <w:t>előnyei</w:t>
      </w:r>
      <w:r w:rsidRPr="00AC5D57">
        <w:rPr>
          <w:rFonts w:ascii="Times New Roman" w:hAnsi="Times New Roman" w:cs="Times New Roman"/>
          <w:sz w:val="24"/>
          <w:szCs w:val="24"/>
        </w:rPr>
        <w:t xml:space="preserve"> a régebbi modellel szemben:</w:t>
      </w:r>
    </w:p>
    <w:p w:rsidR="00FF0C9A" w:rsidRPr="00AC5D57" w:rsidRDefault="00FF0C9A" w:rsidP="00174EBB">
      <w:pPr>
        <w:pStyle w:val="Listaszerbekezds"/>
        <w:numPr>
          <w:ilvl w:val="0"/>
          <w:numId w:val="29"/>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hitelezési veszteségek korábbi megjelenítése és jobb megközelítése</w:t>
      </w:r>
    </w:p>
    <w:p w:rsidR="00FF0C9A" w:rsidRPr="00AC5D57" w:rsidRDefault="00FF0C9A" w:rsidP="00174EBB">
      <w:pPr>
        <w:pStyle w:val="Listaszerbekezds"/>
        <w:numPr>
          <w:ilvl w:val="0"/>
          <w:numId w:val="29"/>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hitelezési minőségben jelentősen romlott pénzügyi eszközök elkülönítése</w:t>
      </w:r>
    </w:p>
    <w:p w:rsidR="00FF0C9A" w:rsidRPr="00AC5D57" w:rsidRDefault="00FF0C9A" w:rsidP="00174EBB">
      <w:pPr>
        <w:pStyle w:val="Listaszerbekezds"/>
        <w:numPr>
          <w:ilvl w:val="0"/>
          <w:numId w:val="29"/>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előreláthatóság</w:t>
      </w:r>
      <w:r>
        <w:rPr>
          <w:rFonts w:ascii="Times New Roman" w:hAnsi="Times New Roman" w:cs="Times New Roman"/>
          <w:sz w:val="24"/>
          <w:szCs w:val="24"/>
        </w:rPr>
        <w:t>, pontosabb információ</w:t>
      </w:r>
      <w:r w:rsidRPr="00AC5D57">
        <w:rPr>
          <w:rFonts w:ascii="Times New Roman" w:hAnsi="Times New Roman" w:cs="Times New Roman"/>
          <w:sz w:val="24"/>
          <w:szCs w:val="24"/>
        </w:rPr>
        <w:t>.</w:t>
      </w:r>
    </w:p>
    <w:p w:rsidR="00FF0C9A" w:rsidRPr="00AC5D57" w:rsidRDefault="00FF0C9A" w:rsidP="00FF0C9A">
      <w:pPr>
        <w:rPr>
          <w:rFonts w:ascii="Times New Roman" w:hAnsi="Times New Roman" w:cs="Times New Roman"/>
          <w:sz w:val="24"/>
          <w:szCs w:val="24"/>
        </w:rPr>
      </w:pPr>
      <w:r w:rsidRPr="00AC5D57">
        <w:rPr>
          <w:rFonts w:ascii="Times New Roman" w:hAnsi="Times New Roman" w:cs="Times New Roman"/>
          <w:sz w:val="24"/>
          <w:szCs w:val="24"/>
        </w:rPr>
        <w:br w:type="page"/>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értékvesztés a különböző módon értékelt pénzügyi eszközök esetében:</w:t>
      </w:r>
    </w:p>
    <w:p w:rsidR="00FF0C9A" w:rsidRPr="00AC5D57" w:rsidRDefault="00FF0C9A" w:rsidP="00174EBB">
      <w:pPr>
        <w:pStyle w:val="Listaszerbekezds"/>
        <w:numPr>
          <w:ilvl w:val="0"/>
          <w:numId w:val="4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eredménnyel szemben valós értéken értékelt (FVTPL) eszközöknél az értékvesztés nem értelmezhető, valamennyi értékváltozás a valós érték megváltozásának része, nem számít értékvesztésnek</w:t>
      </w:r>
    </w:p>
    <w:p w:rsidR="00FF0C9A" w:rsidRPr="00AC5D57" w:rsidRDefault="00FF0C9A" w:rsidP="00174EBB">
      <w:pPr>
        <w:pStyle w:val="Listaszerbekezds"/>
        <w:numPr>
          <w:ilvl w:val="0"/>
          <w:numId w:val="4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amortizált bekerülési értéken értékelt eszközöknél az értékvesztés értelmezhető, és az eredménnyel szemben kell elszámolni</w:t>
      </w:r>
    </w:p>
    <w:p w:rsidR="00FF0C9A" w:rsidRPr="00AC5D57" w:rsidRDefault="00FF0C9A" w:rsidP="00174EBB">
      <w:pPr>
        <w:pStyle w:val="Listaszerbekezds"/>
        <w:numPr>
          <w:ilvl w:val="0"/>
          <w:numId w:val="48"/>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egyéb átfogó eredménnyel szemben valós értéken értékelt eszközöknél is értelmezhető az értékvesztés, és viszonylag speciális módon történik a meghatározása és az elszámolása.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IFRS 9 értékvesztési modelljének </w:t>
      </w:r>
      <w:r w:rsidRPr="0045783D">
        <w:rPr>
          <w:rFonts w:ascii="Times New Roman" w:hAnsi="Times New Roman" w:cs="Times New Roman"/>
          <w:b/>
          <w:sz w:val="24"/>
          <w:szCs w:val="24"/>
        </w:rPr>
        <w:t xml:space="preserve">hatókörébe </w:t>
      </w:r>
      <w:r w:rsidRPr="00AC5D57">
        <w:rPr>
          <w:rFonts w:ascii="Times New Roman" w:hAnsi="Times New Roman" w:cs="Times New Roman"/>
          <w:sz w:val="24"/>
          <w:szCs w:val="24"/>
        </w:rPr>
        <w:t>tartozó pénzügyi instrumentumok:</w:t>
      </w:r>
    </w:p>
    <w:p w:rsidR="00FF0C9A" w:rsidRPr="00AC5D57" w:rsidRDefault="00FF0C9A" w:rsidP="00174EBB">
      <w:pPr>
        <w:pStyle w:val="Listaszerbekezds"/>
        <w:numPr>
          <w:ilvl w:val="0"/>
          <w:numId w:val="3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amortizált bekerülési értéken értékelt hitelviszonyt megtestesítő pénzügyi eszközök</w:t>
      </w:r>
    </w:p>
    <w:p w:rsidR="00FF0C9A" w:rsidRPr="00AC5D57" w:rsidRDefault="00FF0C9A" w:rsidP="00174EBB">
      <w:pPr>
        <w:pStyle w:val="Listaszerbekezds"/>
        <w:numPr>
          <w:ilvl w:val="0"/>
          <w:numId w:val="3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egyéb átfogó eredménnyel szemben valós értéken értékelt hitelviszonyt megtestesítő pénzügyi eszközök</w:t>
      </w:r>
    </w:p>
    <w:p w:rsidR="00FF0C9A" w:rsidRPr="00AC5D57" w:rsidRDefault="00FF0C9A" w:rsidP="00174EBB">
      <w:pPr>
        <w:pStyle w:val="Listaszerbekezds"/>
        <w:numPr>
          <w:ilvl w:val="0"/>
          <w:numId w:val="3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IAS 17 Lízingek standard hatálya alá tartozó lízingkövetelések</w:t>
      </w:r>
    </w:p>
    <w:p w:rsidR="00FF0C9A" w:rsidRPr="00AC5D57" w:rsidRDefault="00FF0C9A" w:rsidP="00174EBB">
      <w:pPr>
        <w:pStyle w:val="Listaszerbekezds"/>
        <w:numPr>
          <w:ilvl w:val="0"/>
          <w:numId w:val="3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IFRS 15 Vevőkkel kötött szerződésekből származó bevételek standard hatálya alá tartozó szerződéses eszközök</w:t>
      </w:r>
    </w:p>
    <w:p w:rsidR="00FF0C9A" w:rsidRPr="00AC5D57" w:rsidRDefault="00FF0C9A" w:rsidP="00174EBB">
      <w:pPr>
        <w:pStyle w:val="Listaszerbekezds"/>
        <w:numPr>
          <w:ilvl w:val="0"/>
          <w:numId w:val="3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IFRS 9 hatálya alá tartozó nem az eredménnyel szemben valós értéken értékelt (nem FVTPL) hitelnyújtási elkötelezettségek</w:t>
      </w:r>
    </w:p>
    <w:p w:rsidR="00FF0C9A" w:rsidRPr="00AC5D57" w:rsidRDefault="00FF0C9A" w:rsidP="00174EBB">
      <w:pPr>
        <w:pStyle w:val="Listaszerbekezds"/>
        <w:numPr>
          <w:ilvl w:val="0"/>
          <w:numId w:val="30"/>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 IFRS 9 hatálya alá tartozó nem az eredménnyel szemben valós értéken értékelt (nem FVTPL) pénzügyi </w:t>
      </w:r>
      <w:proofErr w:type="gramStart"/>
      <w:r w:rsidRPr="00AC5D57">
        <w:rPr>
          <w:rFonts w:ascii="Times New Roman" w:hAnsi="Times New Roman" w:cs="Times New Roman"/>
          <w:sz w:val="24"/>
          <w:szCs w:val="24"/>
        </w:rPr>
        <w:t>garancia szerződések</w:t>
      </w:r>
      <w:proofErr w:type="gramEnd"/>
      <w:r w:rsidRPr="00AC5D57">
        <w:rPr>
          <w:rFonts w:ascii="Times New Roman" w:hAnsi="Times New Roman" w:cs="Times New Roman"/>
          <w:sz w:val="24"/>
          <w:szCs w:val="24"/>
        </w:rPr>
        <w: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új értékvesztési modell az IFRS 9-cel egyetemben 2018. január 1-jén lép kötelező jelleggel hatályba, de természetesen korábbi alkalmazása megengedett.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standard </w:t>
      </w:r>
      <w:r w:rsidRPr="0045783D">
        <w:rPr>
          <w:rFonts w:ascii="Times New Roman" w:hAnsi="Times New Roman" w:cs="Times New Roman"/>
          <w:b/>
          <w:sz w:val="24"/>
          <w:szCs w:val="24"/>
        </w:rPr>
        <w:t>három megközelítést</w:t>
      </w:r>
      <w:r w:rsidRPr="00AC5D57">
        <w:rPr>
          <w:rFonts w:ascii="Times New Roman" w:hAnsi="Times New Roman" w:cs="Times New Roman"/>
          <w:sz w:val="24"/>
          <w:szCs w:val="24"/>
        </w:rPr>
        <w:t xml:space="preserve"> különít el egymástól a pénzügyi eszközök értékvesztése kapcsán:</w:t>
      </w:r>
    </w:p>
    <w:p w:rsidR="00FF0C9A" w:rsidRPr="00AC5D57" w:rsidRDefault="00FF0C9A" w:rsidP="00174EBB">
      <w:pPr>
        <w:pStyle w:val="Listaszerbekezds"/>
        <w:numPr>
          <w:ilvl w:val="0"/>
          <w:numId w:val="31"/>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egy </w:t>
      </w:r>
      <w:r w:rsidRPr="0045783D">
        <w:rPr>
          <w:rFonts w:ascii="Times New Roman" w:hAnsi="Times New Roman" w:cs="Times New Roman"/>
          <w:b/>
          <w:sz w:val="24"/>
          <w:szCs w:val="24"/>
        </w:rPr>
        <w:t xml:space="preserve">általános </w:t>
      </w:r>
      <w:r w:rsidRPr="0045783D">
        <w:rPr>
          <w:rFonts w:ascii="Times New Roman" w:hAnsi="Times New Roman" w:cs="Times New Roman"/>
          <w:sz w:val="24"/>
          <w:szCs w:val="24"/>
        </w:rPr>
        <w:t>megközelítést</w:t>
      </w:r>
      <w:r w:rsidRPr="00AC5D57">
        <w:rPr>
          <w:rFonts w:ascii="Times New Roman" w:hAnsi="Times New Roman" w:cs="Times New Roman"/>
          <w:sz w:val="24"/>
          <w:szCs w:val="24"/>
        </w:rPr>
        <w:t>, amely a „várható hitelezési veszteségek” modell köré épül, a 12 havi és a teljes élettartam alatti várható hitelezési veszteségek, ezek mérése, illetve a hitelezési kockázat változása képezi az alapját</w:t>
      </w:r>
    </w:p>
    <w:p w:rsidR="00FF0C9A" w:rsidRPr="00AC5D57" w:rsidRDefault="00FF0C9A" w:rsidP="00174EBB">
      <w:pPr>
        <w:pStyle w:val="Listaszerbekezds"/>
        <w:numPr>
          <w:ilvl w:val="0"/>
          <w:numId w:val="31"/>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egy </w:t>
      </w:r>
      <w:r w:rsidRPr="0045783D">
        <w:rPr>
          <w:rFonts w:ascii="Times New Roman" w:hAnsi="Times New Roman" w:cs="Times New Roman"/>
          <w:b/>
          <w:sz w:val="24"/>
          <w:szCs w:val="24"/>
        </w:rPr>
        <w:t xml:space="preserve">egyszerűsített </w:t>
      </w:r>
      <w:r w:rsidRPr="0045783D">
        <w:rPr>
          <w:rFonts w:ascii="Times New Roman" w:hAnsi="Times New Roman" w:cs="Times New Roman"/>
          <w:sz w:val="24"/>
          <w:szCs w:val="24"/>
        </w:rPr>
        <w:t>megközelítést</w:t>
      </w:r>
      <w:r w:rsidRPr="00AC5D57">
        <w:rPr>
          <w:rFonts w:ascii="Times New Roman" w:hAnsi="Times New Roman" w:cs="Times New Roman"/>
          <w:sz w:val="24"/>
          <w:szCs w:val="24"/>
        </w:rPr>
        <w:t xml:space="preserve"> (az általánoshoz képest), a vevő-, lízingkövetelések és az IFRS 15 hatálya alá tartozó szerződéses eszközök esetében</w:t>
      </w:r>
    </w:p>
    <w:p w:rsidR="00FF0C9A" w:rsidRPr="00AC5D57" w:rsidRDefault="00FF0C9A" w:rsidP="00174EBB">
      <w:pPr>
        <w:pStyle w:val="Listaszerbekezds"/>
        <w:numPr>
          <w:ilvl w:val="0"/>
          <w:numId w:val="31"/>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egy </w:t>
      </w:r>
      <w:r w:rsidRPr="0045783D">
        <w:rPr>
          <w:rFonts w:ascii="Times New Roman" w:hAnsi="Times New Roman" w:cs="Times New Roman"/>
          <w:b/>
          <w:sz w:val="24"/>
          <w:szCs w:val="24"/>
        </w:rPr>
        <w:t xml:space="preserve">speciális </w:t>
      </w:r>
      <w:r w:rsidRPr="0045783D">
        <w:rPr>
          <w:rFonts w:ascii="Times New Roman" w:hAnsi="Times New Roman" w:cs="Times New Roman"/>
          <w:sz w:val="24"/>
          <w:szCs w:val="24"/>
        </w:rPr>
        <w:t>megközelítést</w:t>
      </w:r>
      <w:r w:rsidRPr="00AC5D57">
        <w:rPr>
          <w:rFonts w:ascii="Times New Roman" w:hAnsi="Times New Roman" w:cs="Times New Roman"/>
          <w:sz w:val="24"/>
          <w:szCs w:val="24"/>
        </w:rPr>
        <w:t xml:space="preserve"> a kezdeti megjelenítéskor már értékvesztett pénzügyi eszközök</w:t>
      </w:r>
      <w:r w:rsidR="00D74D7C">
        <w:rPr>
          <w:rFonts w:ascii="Times New Roman" w:hAnsi="Times New Roman" w:cs="Times New Roman"/>
          <w:sz w:val="24"/>
          <w:szCs w:val="24"/>
        </w:rPr>
        <w:t xml:space="preserve"> </w:t>
      </w:r>
      <w:r w:rsidRPr="00AC5D57">
        <w:rPr>
          <w:rFonts w:ascii="Times New Roman" w:hAnsi="Times New Roman" w:cs="Times New Roman"/>
          <w:sz w:val="24"/>
          <w:szCs w:val="24"/>
        </w:rPr>
        <w:t>esetében.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következő ábra szemlélteti ezen megközelítéseket</w:t>
      </w:r>
      <w:r w:rsidR="00D74D7C">
        <w:rPr>
          <w:rFonts w:ascii="Times New Roman" w:hAnsi="Times New Roman" w:cs="Times New Roman"/>
          <w:sz w:val="24"/>
          <w:szCs w:val="24"/>
        </w:rPr>
        <w:t xml:space="preserve"> (7</w:t>
      </w:r>
      <w:r>
        <w:rPr>
          <w:rFonts w:ascii="Times New Roman" w:hAnsi="Times New Roman" w:cs="Times New Roman"/>
          <w:sz w:val="24"/>
          <w:szCs w:val="24"/>
        </w:rPr>
        <w:t>.</w:t>
      </w:r>
      <w:r w:rsidR="00D74D7C">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AC5D57" w:rsidRDefault="00FF0C9A" w:rsidP="00FF0C9A">
      <w:pPr>
        <w:autoSpaceDE w:val="0"/>
        <w:autoSpaceDN w:val="0"/>
        <w:adjustRightInd w:val="0"/>
        <w:spacing w:after="0" w:line="360" w:lineRule="auto"/>
        <w:jc w:val="both"/>
        <w:rPr>
          <w:rFonts w:ascii="Times New Roman" w:hAnsi="Times New Roman" w:cs="Times New Roman"/>
          <w:sz w:val="24"/>
          <w:szCs w:val="24"/>
        </w:rPr>
      </w:pPr>
      <w:r w:rsidRPr="00AC5D57">
        <w:rPr>
          <w:rFonts w:ascii="Times New Roman" w:hAnsi="Times New Roman" w:cs="Times New Roman"/>
          <w:noProof/>
          <w:sz w:val="24"/>
          <w:szCs w:val="24"/>
          <w:lang w:eastAsia="hu-HU"/>
        </w:rPr>
        <w:drawing>
          <wp:inline distT="0" distB="0" distL="0" distR="0">
            <wp:extent cx="5766289" cy="2769576"/>
            <wp:effectExtent l="19050" t="0" r="0" b="0"/>
            <wp:docPr id="4" name="Objektum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880" cy="3578914"/>
                      <a:chOff x="1043608" y="1340768"/>
                      <a:chExt cx="7920880" cy="3578914"/>
                    </a:xfrm>
                  </a:grpSpPr>
                  <a:sp>
                    <a:nvSpPr>
                      <a:cNvPr id="4" name="Lekerekített téglalap 3"/>
                      <a:cNvSpPr/>
                    </a:nvSpPr>
                    <a:spPr>
                      <a:xfrm>
                        <a:off x="4860032" y="2348880"/>
                        <a:ext cx="3672408" cy="504056"/>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Speciális esetek</a:t>
                          </a:r>
                          <a:endParaRPr lang="hu-HU"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Lekerekített téglalap 4"/>
                      <a:cNvSpPr/>
                    </a:nvSpPr>
                    <a:spPr>
                      <a:xfrm>
                        <a:off x="1043608" y="2348880"/>
                        <a:ext cx="3672408"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Általános megközelítés</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Lekerekített téglalap 5"/>
                      <a:cNvSpPr/>
                    </a:nvSpPr>
                    <a:spPr>
                      <a:xfrm>
                        <a:off x="4860032" y="3356992"/>
                        <a:ext cx="1656184" cy="936104"/>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Bekerüléskor már értékvesztett eszközök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Lekerekített téglalap 6"/>
                      <a:cNvSpPr/>
                    </a:nvSpPr>
                    <a:spPr>
                      <a:xfrm>
                        <a:off x="1043608" y="1340768"/>
                        <a:ext cx="7488832" cy="504056"/>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Az értékvesztés hatálya alá tartozó pénzügyi instrumentumok</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Lekerekített téglalap 7"/>
                      <a:cNvSpPr/>
                    </a:nvSpPr>
                    <a:spPr>
                      <a:xfrm>
                        <a:off x="6660232" y="3356992"/>
                        <a:ext cx="1872208" cy="936104"/>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Vevő- és lízingkövetelések, </a:t>
                          </a:r>
                          <a:r>
                            <a:rPr lang="hu-HU" sz="1400" b="1" dirty="0" smtClean="0">
                              <a:solidFill>
                                <a:schemeClr val="tx1"/>
                              </a:solidFill>
                            </a:rPr>
                            <a:t>szerződéses eszközök </a:t>
                          </a:r>
                          <a:endParaRPr lang="hu-HU" sz="1400" b="1" dirty="0" smtClean="0">
                            <a:solidFill>
                              <a:schemeClr val="tx1"/>
                            </a:solidFill>
                          </a:endParaRPr>
                        </a:p>
                        <a:p>
                          <a:pPr algn="ctr"/>
                          <a:r>
                            <a:rPr lang="hu-HU" sz="1400" b="1" dirty="0" smtClean="0">
                              <a:solidFill>
                                <a:schemeClr val="tx1"/>
                              </a:solidFill>
                            </a:rPr>
                            <a:t>(IFRS 15)</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Lekerekített téglalap 8"/>
                      <a:cNvSpPr/>
                    </a:nvSpPr>
                    <a:spPr>
                      <a:xfrm>
                        <a:off x="1043608" y="3356992"/>
                        <a:ext cx="1656184" cy="936104"/>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12 havi várható hitelezési veszteségek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Lekerekített téglalap 9"/>
                      <a:cNvSpPr/>
                    </a:nvSpPr>
                    <a:spPr>
                      <a:xfrm>
                        <a:off x="3059832" y="3356992"/>
                        <a:ext cx="1656184" cy="936104"/>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Teljes élettartam alatti várható hitelezési veszteségek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Szövegdoboz 28"/>
                      <a:cNvSpPr txBox="1"/>
                    </a:nvSpPr>
                    <a:spPr>
                      <a:xfrm>
                        <a:off x="1115616" y="4581128"/>
                        <a:ext cx="3295326"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dirty="0" smtClean="0"/>
                            <a:t>„Várható hitelezési veszteség” modell</a:t>
                          </a:r>
                          <a:endParaRPr lang="hu-HU" sz="1600" dirty="0"/>
                        </a:p>
                      </a:txBody>
                      <a:useSpRect/>
                    </a:txSp>
                  </a:sp>
                  <a:cxnSp>
                    <a:nvCxnSpPr>
                      <a:cNvPr id="31" name="Egyenes összekötő nyíllal 30"/>
                      <a:cNvCxnSpPr>
                        <a:stCxn id="7" idx="2"/>
                        <a:endCxn id="5" idx="0"/>
                      </a:cNvCxnSpPr>
                    </a:nvCxnSpPr>
                    <a:spPr>
                      <a:xfrm flipH="1">
                        <a:off x="2879812" y="1844824"/>
                        <a:ext cx="1908212"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Egyenes összekötő nyíllal 32"/>
                      <a:cNvCxnSpPr>
                        <a:stCxn id="7" idx="2"/>
                        <a:endCxn id="4" idx="0"/>
                      </a:cNvCxnSpPr>
                    </a:nvCxnSpPr>
                    <a:spPr>
                      <a:xfrm>
                        <a:off x="4788024" y="1844824"/>
                        <a:ext cx="1908212"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Egyenes összekötő nyíllal 34"/>
                      <a:cNvCxnSpPr>
                        <a:stCxn id="5" idx="2"/>
                        <a:endCxn id="9" idx="0"/>
                      </a:cNvCxnSpPr>
                    </a:nvCxnSpPr>
                    <a:spPr>
                      <a:xfrm flipH="1">
                        <a:off x="1871700" y="2852936"/>
                        <a:ext cx="1008112"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 name="Egyenes összekötő nyíllal 36"/>
                      <a:cNvCxnSpPr>
                        <a:stCxn id="5" idx="2"/>
                        <a:endCxn id="10" idx="0"/>
                      </a:cNvCxnSpPr>
                    </a:nvCxnSpPr>
                    <a:spPr>
                      <a:xfrm>
                        <a:off x="2879812" y="2852936"/>
                        <a:ext cx="1008112"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Egyenes összekötő nyíllal 38"/>
                      <a:cNvCxnSpPr>
                        <a:stCxn id="4" idx="2"/>
                        <a:endCxn id="6" idx="0"/>
                      </a:cNvCxnSpPr>
                    </a:nvCxnSpPr>
                    <a:spPr>
                      <a:xfrm flipH="1">
                        <a:off x="5688124" y="2852936"/>
                        <a:ext cx="1008112"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Egyenes összekötő nyíllal 40"/>
                      <a:cNvCxnSpPr>
                        <a:stCxn id="4" idx="2"/>
                        <a:endCxn id="8" idx="0"/>
                      </a:cNvCxnSpPr>
                    </a:nvCxnSpPr>
                    <a:spPr>
                      <a:xfrm>
                        <a:off x="6696236" y="2852936"/>
                        <a:ext cx="900100"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7" name="Egyenes összekötő nyíllal 66"/>
                      <a:cNvCxnSpPr>
                        <a:stCxn id="9" idx="3"/>
                        <a:endCxn id="10" idx="1"/>
                      </a:cNvCxnSpPr>
                    </a:nvCxnSpPr>
                    <a:spPr>
                      <a:xfrm>
                        <a:off x="2699792" y="3825044"/>
                        <a:ext cx="360040" cy="0"/>
                      </a:xfrm>
                      <a:prstGeom prst="straightConnector1">
                        <a:avLst/>
                      </a:prstGeom>
                      <a:ln w="2540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70" name="Szövegdoboz 69"/>
                      <a:cNvSpPr txBox="1"/>
                    </a:nvSpPr>
                    <a:spPr>
                      <a:xfrm>
                        <a:off x="6516216" y="4293096"/>
                        <a:ext cx="24482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dirty="0" smtClean="0"/>
                            <a:t>Egyszerűsített megközelítés</a:t>
                          </a:r>
                          <a:endParaRPr lang="hu-HU" sz="1600" dirty="0"/>
                        </a:p>
                      </a:txBody>
                      <a:useSpRect/>
                    </a:txSp>
                  </a:sp>
                  <a:cxnSp>
                    <a:nvCxnSpPr>
                      <a:cNvPr id="23" name="Egyenes összekötő 22"/>
                      <a:cNvCxnSpPr/>
                    </a:nvCxnSpPr>
                    <a:spPr>
                      <a:xfrm>
                        <a:off x="971600" y="3212976"/>
                        <a:ext cx="0" cy="180020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25" name="Egyenes összekötő 24"/>
                      <a:cNvCxnSpPr/>
                    </a:nvCxnSpPr>
                    <a:spPr>
                      <a:xfrm>
                        <a:off x="971600" y="3212976"/>
                        <a:ext cx="3816424"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26" name="Egyenes összekötő 25"/>
                      <a:cNvCxnSpPr/>
                    </a:nvCxnSpPr>
                    <a:spPr>
                      <a:xfrm>
                        <a:off x="4788024" y="3212976"/>
                        <a:ext cx="0" cy="180020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27" name="Egyenes összekötő 26"/>
                      <a:cNvCxnSpPr/>
                    </a:nvCxnSpPr>
                    <a:spPr>
                      <a:xfrm>
                        <a:off x="971600" y="5013176"/>
                        <a:ext cx="3816424"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F0C9A" w:rsidRPr="00AC5D57" w:rsidRDefault="00FF0C9A" w:rsidP="00FF0C9A">
      <w:pPr>
        <w:autoSpaceDE w:val="0"/>
        <w:autoSpaceDN w:val="0"/>
        <w:adjustRightInd w:val="0"/>
        <w:spacing w:after="24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AE388D">
        <w:rPr>
          <w:rFonts w:ascii="Times New Roman" w:hAnsi="Times New Roman" w:cs="Times New Roman"/>
          <w:sz w:val="20"/>
          <w:szCs w:val="20"/>
        </w:rPr>
        <w:t>http://www.kpmg.com/Global/en/IssuesAndInsi</w:t>
      </w:r>
      <w:r>
        <w:rPr>
          <w:rFonts w:ascii="Times New Roman" w:hAnsi="Times New Roman" w:cs="Times New Roman"/>
          <w:sz w:val="20"/>
          <w:szCs w:val="20"/>
        </w:rPr>
        <w:t>ghts/ArticlesPublications/first-</w:t>
      </w:r>
      <w:r w:rsidRPr="00AE388D">
        <w:rPr>
          <w:rFonts w:ascii="Times New Roman" w:hAnsi="Times New Roman" w:cs="Times New Roman"/>
          <w:sz w:val="20"/>
          <w:szCs w:val="20"/>
        </w:rPr>
        <w:t>impressions/Documents/</w:t>
      </w:r>
      <w:r>
        <w:rPr>
          <w:rFonts w:ascii="Times New Roman" w:hAnsi="Times New Roman" w:cs="Times New Roman"/>
          <w:sz w:val="20"/>
          <w:szCs w:val="20"/>
        </w:rPr>
        <w:t xml:space="preserve"> </w:t>
      </w:r>
      <w:r w:rsidRPr="00AE388D">
        <w:rPr>
          <w:rFonts w:ascii="Times New Roman" w:hAnsi="Times New Roman" w:cs="Times New Roman"/>
          <w:sz w:val="20"/>
          <w:szCs w:val="20"/>
        </w:rPr>
        <w:t>first-impressions-IFRS9.pdf</w:t>
      </w:r>
      <w:r>
        <w:rPr>
          <w:rFonts w:ascii="Times New Roman" w:hAnsi="Times New Roman" w:cs="Times New Roman"/>
          <w:sz w:val="20"/>
          <w:szCs w:val="20"/>
        </w:rPr>
        <w:t>, 12.1.</w:t>
      </w:r>
    </w:p>
    <w:p w:rsidR="00FF0C9A" w:rsidRPr="00AC5D57" w:rsidRDefault="00FF0C9A" w:rsidP="00FF0C9A">
      <w:pPr>
        <w:pStyle w:val="Cmsor3"/>
      </w:pPr>
      <w:bookmarkStart w:id="24" w:name="_Toc434181031"/>
      <w:bookmarkStart w:id="25" w:name="_Toc434689803"/>
      <w:r w:rsidRPr="00AC5D57">
        <w:t>Általános megközelítés</w:t>
      </w:r>
      <w:bookmarkEnd w:id="24"/>
      <w:bookmarkEnd w:id="25"/>
    </w:p>
    <w:p w:rsidR="00126740" w:rsidRDefault="00126740" w:rsidP="00126740">
      <w:pPr>
        <w:autoSpaceDE w:val="0"/>
        <w:autoSpaceDN w:val="0"/>
        <w:adjustRightInd w:val="0"/>
        <w:spacing w:after="0" w:line="24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általános megközelítés a „várható hitelezési veszteségek” modellre épül, az értékvesztéseket a hitelezési veszteségek tényleges felmerülése előtt el kell már számolni benne.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Alapvetően az dönti el, hogy milyen várható hitelezési veszteségekkel kell számolni az értékvesztés során, hogy az adott pénzügyi eszközhöz kapcsolódó </w:t>
      </w:r>
      <w:r w:rsidRPr="0045783D">
        <w:rPr>
          <w:rFonts w:ascii="Times New Roman" w:hAnsi="Times New Roman" w:cs="Times New Roman"/>
          <w:b/>
          <w:sz w:val="24"/>
          <w:szCs w:val="24"/>
        </w:rPr>
        <w:t>hitelezési kockázat milyen mértékben nőtt meg</w:t>
      </w:r>
      <w:r w:rsidRPr="00AC5D57">
        <w:rPr>
          <w:rFonts w:ascii="Times New Roman" w:hAnsi="Times New Roman" w:cs="Times New Roman"/>
          <w:sz w:val="24"/>
          <w:szCs w:val="24"/>
        </w:rPr>
        <w:t xml:space="preserve"> az eszköz kezdeti megjelenítése óta:</w:t>
      </w:r>
    </w:p>
    <w:p w:rsidR="00FF0C9A" w:rsidRPr="00AC5D57" w:rsidRDefault="00FF0C9A" w:rsidP="00174EBB">
      <w:pPr>
        <w:pStyle w:val="Listaszerbekezds"/>
        <w:numPr>
          <w:ilvl w:val="0"/>
          <w:numId w:val="32"/>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szignifikánsan megnőtt: teljes élettartam alatti várható hitelezési veszteségek</w:t>
      </w:r>
    </w:p>
    <w:p w:rsidR="00FF0C9A" w:rsidRPr="00AC5D57" w:rsidRDefault="00FF0C9A" w:rsidP="00174EBB">
      <w:pPr>
        <w:pStyle w:val="Listaszerbekezds"/>
        <w:numPr>
          <w:ilvl w:val="0"/>
          <w:numId w:val="32"/>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nem nőtt meg jelentősen: 12 havi várható hitelezési veszteségek (ez az alapállapot).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Lehetséges, hogy a hitelezési kockázat megváltozása következtében át/vissza kell térni az egyik időtávról a másikra a várható hitelezési veszteségeknél</w:t>
      </w:r>
      <w:r w:rsidR="00126740">
        <w:rPr>
          <w:rFonts w:ascii="Times New Roman" w:hAnsi="Times New Roman" w:cs="Times New Roman"/>
          <w:sz w:val="24"/>
          <w:szCs w:val="24"/>
        </w:rPr>
        <w:t xml:space="preserve"> (8</w:t>
      </w:r>
      <w:r>
        <w:rPr>
          <w:rFonts w:ascii="Times New Roman" w:hAnsi="Times New Roman" w:cs="Times New Roman"/>
          <w:sz w:val="24"/>
          <w:szCs w:val="24"/>
        </w:rPr>
        <w:t>.</w:t>
      </w:r>
      <w:r w:rsidR="00126740">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AC5D57" w:rsidRDefault="00FF0C9A" w:rsidP="00FF0C9A">
      <w:pPr>
        <w:autoSpaceDE w:val="0"/>
        <w:autoSpaceDN w:val="0"/>
        <w:adjustRightInd w:val="0"/>
        <w:spacing w:after="0" w:line="360" w:lineRule="auto"/>
        <w:jc w:val="center"/>
        <w:rPr>
          <w:rFonts w:ascii="Times New Roman" w:hAnsi="Times New Roman" w:cs="Times New Roman"/>
          <w:sz w:val="24"/>
          <w:szCs w:val="24"/>
        </w:rPr>
      </w:pPr>
      <w:r w:rsidRPr="00AC5D57">
        <w:rPr>
          <w:rFonts w:ascii="Times New Roman" w:hAnsi="Times New Roman" w:cs="Times New Roman"/>
          <w:noProof/>
          <w:sz w:val="24"/>
          <w:szCs w:val="24"/>
          <w:lang w:eastAsia="hu-HU"/>
        </w:rPr>
        <w:drawing>
          <wp:inline distT="0" distB="0" distL="0" distR="0">
            <wp:extent cx="5304572" cy="2136531"/>
            <wp:effectExtent l="19050" t="0" r="0" b="0"/>
            <wp:docPr id="1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14950" cy="2140711"/>
                    </a:xfrm>
                    <a:prstGeom prst="rect">
                      <a:avLst/>
                    </a:prstGeom>
                    <a:noFill/>
                    <a:ln w="9525">
                      <a:noFill/>
                      <a:miter lim="800000"/>
                      <a:headEnd/>
                      <a:tailEnd/>
                    </a:ln>
                  </pic:spPr>
                </pic:pic>
              </a:graphicData>
            </a:graphic>
          </wp:inline>
        </w:drawing>
      </w:r>
    </w:p>
    <w:p w:rsidR="00FF0C9A" w:rsidRPr="00AC5D57" w:rsidRDefault="00FF0C9A" w:rsidP="00FF0C9A">
      <w:pPr>
        <w:autoSpaceDE w:val="0"/>
        <w:autoSpaceDN w:val="0"/>
        <w:adjustRightInd w:val="0"/>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4054EE">
        <w:rPr>
          <w:rFonts w:ascii="Times New Roman" w:hAnsi="Times New Roman" w:cs="Times New Roman"/>
          <w:sz w:val="20"/>
          <w:szCs w:val="20"/>
        </w:rPr>
        <w:t>http://www.kpmg.com/HU/hu/IssuesAndInsights/ArticlesPublications/penzugyi-instrumentumok/Documents/P%C3%A9nz%C3%BCgyi%20instrumentumok%20%E2%80%93%20a%20k%C3%A9sz%20standard.pdf</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általános megközelítésnél először tehát meg kell nézni, hogy az eszköz kezdeti megjelenítése óta milyen mértékben változott (szignifikánsan-e?) </w:t>
      </w:r>
      <w:proofErr w:type="gramStart"/>
      <w:r w:rsidRPr="00AC5D57">
        <w:rPr>
          <w:rFonts w:ascii="Times New Roman" w:hAnsi="Times New Roman" w:cs="Times New Roman"/>
          <w:sz w:val="24"/>
          <w:szCs w:val="24"/>
        </w:rPr>
        <w:t>annak</w:t>
      </w:r>
      <w:proofErr w:type="gramEnd"/>
      <w:r w:rsidRPr="00AC5D57">
        <w:rPr>
          <w:rFonts w:ascii="Times New Roman" w:hAnsi="Times New Roman" w:cs="Times New Roman"/>
          <w:sz w:val="24"/>
          <w:szCs w:val="24"/>
        </w:rPr>
        <w:t xml:space="preserve"> hitelezési kockázata, és ez alapján kell a várható hitelezési veszteségek időtávját vizsgálni.</w:t>
      </w:r>
      <w:r>
        <w:rPr>
          <w:rFonts w:ascii="Times New Roman" w:hAnsi="Times New Roman" w:cs="Times New Roman"/>
          <w:sz w:val="24"/>
          <w:szCs w:val="24"/>
        </w:rPr>
        <w:t xml:space="preserve"> Magyarán </w:t>
      </w:r>
      <w:r w:rsidRPr="0045783D">
        <w:rPr>
          <w:rFonts w:ascii="Times New Roman" w:hAnsi="Times New Roman" w:cs="Times New Roman"/>
          <w:b/>
          <w:sz w:val="24"/>
          <w:szCs w:val="24"/>
        </w:rPr>
        <w:t>van-e</w:t>
      </w:r>
      <w:r>
        <w:rPr>
          <w:rFonts w:ascii="Times New Roman" w:hAnsi="Times New Roman" w:cs="Times New Roman"/>
          <w:sz w:val="24"/>
          <w:szCs w:val="24"/>
        </w:rPr>
        <w:t xml:space="preserve"> valamilyen </w:t>
      </w:r>
      <w:r w:rsidRPr="0045783D">
        <w:rPr>
          <w:rFonts w:ascii="Times New Roman" w:hAnsi="Times New Roman" w:cs="Times New Roman"/>
          <w:b/>
          <w:sz w:val="24"/>
          <w:szCs w:val="24"/>
        </w:rPr>
        <w:t>hitelezési gond</w:t>
      </w:r>
      <w:r>
        <w:rPr>
          <w:rFonts w:ascii="Times New Roman" w:hAnsi="Times New Roman" w:cs="Times New Roman"/>
          <w:sz w:val="24"/>
          <w:szCs w:val="24"/>
        </w:rPr>
        <w:t xml:space="preserve"> az eszközzel. Ha nincs: 12 havi, ha van: teljes élettartam alatti várható hitelezési veszteségeket kell figyelembe venni.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Következő lépésként a gazdálkodó egységnek meg kell határoznia a számításba vett </w:t>
      </w:r>
      <w:r w:rsidRPr="0045783D">
        <w:rPr>
          <w:rFonts w:ascii="Times New Roman" w:hAnsi="Times New Roman" w:cs="Times New Roman"/>
          <w:b/>
          <w:sz w:val="24"/>
          <w:szCs w:val="24"/>
        </w:rPr>
        <w:t>várható hitelezési veszteségek</w:t>
      </w:r>
      <w:r w:rsidRPr="00AC5D57">
        <w:rPr>
          <w:rFonts w:ascii="Times New Roman" w:hAnsi="Times New Roman" w:cs="Times New Roman"/>
          <w:sz w:val="24"/>
          <w:szCs w:val="24"/>
        </w:rPr>
        <w:t xml:space="preserve"> (valószínűséggel súlyozott) </w:t>
      </w:r>
      <w:r w:rsidRPr="0045783D">
        <w:rPr>
          <w:rFonts w:ascii="Times New Roman" w:hAnsi="Times New Roman" w:cs="Times New Roman"/>
          <w:b/>
          <w:sz w:val="24"/>
          <w:szCs w:val="24"/>
        </w:rPr>
        <w:t>jelenértékét</w:t>
      </w:r>
      <w:r w:rsidRPr="00AC5D57">
        <w:rPr>
          <w:rFonts w:ascii="Times New Roman" w:hAnsi="Times New Roman" w:cs="Times New Roman"/>
          <w:sz w:val="24"/>
          <w:szCs w:val="24"/>
        </w:rPr>
        <w:t xml:space="preserve">. Erre a pénz időértéke miatt van szükség, nem lehet csak úgy egyszerűen összehasonlítani két különböző időpontú pénzmennyiséget, nem érnek ugyanannyit. A jelenérték meghatározása során az eszköz kezdeti megjelenítésénél már kiszámolt effektív kamatláb lesz a diszkontráta, mert ez diszkontálja a cash flow-kat (és így a hitelezési veszteséget is) a jelenre. A valószínűségeket a gazdálkodó egységnek a rendelkezésére álló információi alapján kell megbecsülnie.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megkapott jelenérték – a valószínűségek figyelembe vételével – lesz a </w:t>
      </w:r>
      <w:r w:rsidRPr="0045783D">
        <w:rPr>
          <w:rFonts w:ascii="Times New Roman" w:hAnsi="Times New Roman" w:cs="Times New Roman"/>
          <w:b/>
          <w:sz w:val="24"/>
          <w:szCs w:val="24"/>
        </w:rPr>
        <w:t>teljes</w:t>
      </w:r>
      <w:r w:rsidRPr="00AC5D57">
        <w:rPr>
          <w:rFonts w:ascii="Times New Roman" w:hAnsi="Times New Roman" w:cs="Times New Roman"/>
          <w:sz w:val="24"/>
          <w:szCs w:val="24"/>
        </w:rPr>
        <w:t xml:space="preserve"> </w:t>
      </w:r>
      <w:r w:rsidRPr="00AC5D57">
        <w:rPr>
          <w:rFonts w:ascii="Times New Roman" w:hAnsi="Times New Roman" w:cs="Times New Roman"/>
          <w:b/>
          <w:sz w:val="24"/>
          <w:szCs w:val="24"/>
        </w:rPr>
        <w:t>várható</w:t>
      </w:r>
      <w:r w:rsidRPr="00AC5D57">
        <w:rPr>
          <w:rFonts w:ascii="Times New Roman" w:hAnsi="Times New Roman" w:cs="Times New Roman"/>
          <w:sz w:val="24"/>
          <w:szCs w:val="24"/>
        </w:rPr>
        <w:t xml:space="preserve"> </w:t>
      </w:r>
      <w:r w:rsidRPr="0045783D">
        <w:rPr>
          <w:rFonts w:ascii="Times New Roman" w:hAnsi="Times New Roman" w:cs="Times New Roman"/>
          <w:b/>
          <w:sz w:val="24"/>
          <w:szCs w:val="24"/>
        </w:rPr>
        <w:t>értékvesztés</w:t>
      </w:r>
      <w:r w:rsidRPr="00AC5D57">
        <w:rPr>
          <w:rFonts w:ascii="Times New Roman" w:hAnsi="Times New Roman" w:cs="Times New Roman"/>
          <w:sz w:val="24"/>
          <w:szCs w:val="24"/>
        </w:rPr>
        <w:t xml:space="preserve"> a fordulónapon. Az eszköz teljes értékvesztése a fordulónapon viszont: a már ténylegesen felmerült értékvesztések + a fordulónapon a teljes várható értékvesztés összege.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Egy pénzügyi eszköz könyv szerinti értéke minden fordulónapon megegyezik a következővel: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roofErr w:type="gramStart"/>
      <w:r w:rsidRPr="00AC5D57">
        <w:rPr>
          <w:rFonts w:ascii="Times New Roman" w:hAnsi="Times New Roman" w:cs="Times New Roman"/>
          <w:b/>
          <w:sz w:val="24"/>
          <w:szCs w:val="24"/>
        </w:rPr>
        <w:t>könyv</w:t>
      </w:r>
      <w:proofErr w:type="gramEnd"/>
      <w:r w:rsidRPr="00AC5D57">
        <w:rPr>
          <w:rFonts w:ascii="Times New Roman" w:hAnsi="Times New Roman" w:cs="Times New Roman"/>
          <w:b/>
          <w:sz w:val="24"/>
          <w:szCs w:val="24"/>
        </w:rPr>
        <w:t xml:space="preserve"> szerinti érték</w:t>
      </w:r>
      <w:r w:rsidRPr="00AC5D57">
        <w:rPr>
          <w:rFonts w:ascii="Times New Roman" w:hAnsi="Times New Roman" w:cs="Times New Roman"/>
          <w:sz w:val="24"/>
          <w:szCs w:val="24"/>
        </w:rPr>
        <w:t xml:space="preserve"> = csak a tényleges értékvesztésekkel csökkentett könyv szerinti érték – a teljes várható értékvesztés a fordulónapon.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kamatbevételek elszámolása során a várható értékvesztéseket figyelmen kívül kell hagyni, csak a ténylegesen bekövetkezett veszteségek miatti értékvesztések számítanak.</w:t>
      </w:r>
      <w:r>
        <w:rPr>
          <w:rFonts w:ascii="Times New Roman" w:hAnsi="Times New Roman" w:cs="Times New Roman"/>
          <w:sz w:val="24"/>
          <w:szCs w:val="24"/>
        </w:rPr>
        <w:t xml:space="preserve"> </w:t>
      </w:r>
      <w:r w:rsidRPr="00AC5D57">
        <w:rPr>
          <w:rFonts w:ascii="Times New Roman" w:hAnsi="Times New Roman" w:cs="Times New Roman"/>
          <w:sz w:val="24"/>
          <w:szCs w:val="24"/>
        </w:rPr>
        <w:t xml:space="preserve">Az értékvesztés adott fordulónapi könyvelésénél mindig figyelni kell a már korábban elszámolt értékvesztésekre, a „kumulált értékvesztésnek” meg kell egyeznie a teljes értékvesztéssel a fordulónapon.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gazdálkodó egységnek </w:t>
      </w:r>
      <w:r w:rsidRPr="00AC5D57">
        <w:rPr>
          <w:rFonts w:ascii="Times New Roman" w:hAnsi="Times New Roman" w:cs="Times New Roman"/>
          <w:b/>
          <w:sz w:val="24"/>
          <w:szCs w:val="24"/>
        </w:rPr>
        <w:t>mindenegyes fordulónapon</w:t>
      </w:r>
      <w:r w:rsidRPr="00AC5D57">
        <w:rPr>
          <w:rFonts w:ascii="Times New Roman" w:hAnsi="Times New Roman" w:cs="Times New Roman"/>
          <w:sz w:val="24"/>
          <w:szCs w:val="24"/>
        </w:rPr>
        <w:t xml:space="preserve"> el kell végezni az előbb említett teljes procedúrát: tudnia kell a teljes értékvesztést a fordulónapon, el kell végezni a szükséges korrekciókat, stb.</w:t>
      </w:r>
      <w:r>
        <w:rPr>
          <w:rFonts w:ascii="Times New Roman" w:hAnsi="Times New Roman" w:cs="Times New Roman"/>
          <w:sz w:val="24"/>
          <w:szCs w:val="24"/>
        </w:rPr>
        <w:t xml:space="preserve"> </w:t>
      </w:r>
      <w:r w:rsidRPr="00AC5D57">
        <w:rPr>
          <w:rFonts w:ascii="Times New Roman" w:hAnsi="Times New Roman" w:cs="Times New Roman"/>
          <w:sz w:val="24"/>
          <w:szCs w:val="24"/>
        </w:rPr>
        <w:t>Ha egy „várt” hitelezési veszteség nem következik be (teljesítik a kifizetést), akkor egyszerűen ki kell vezetni a korábban elszámolt – ehhez kapcsolódó – értékvesztést. Ha mégis bekövetkezik, akkor ténylegesen értékvesztetté válik az eszköz.</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Ha egy pénzügyi eszköz már a kezdeti megjelenítésnél értékvesztett (így vásároltuk vagy keletkeztetett), akkor a diszkontráta azon effektív kamatláb lesz, amely a várható (nem az eredeti szerződéses) cash flow-it az eszköznek a bekerülési értékére diszkontálja. Az ilyen eszközök az általános megközelítés hatókörén kívül esnek, ahogy a lízingkövetelések, a vevőkövetelések és az IFRS 15 szerinti szerződéses eszközök is.</w:t>
      </w:r>
    </w:p>
    <w:p w:rsidR="00FF0C9A" w:rsidRPr="00AC5D57" w:rsidRDefault="00FF0C9A" w:rsidP="00FF0C9A">
      <w:pPr>
        <w:autoSpaceDE w:val="0"/>
        <w:autoSpaceDN w:val="0"/>
        <w:adjustRightInd w:val="0"/>
        <w:spacing w:after="60" w:line="360" w:lineRule="auto"/>
        <w:jc w:val="both"/>
        <w:rPr>
          <w:rFonts w:ascii="Times New Roman" w:hAnsi="Times New Roman" w:cs="Times New Roman"/>
          <w:sz w:val="24"/>
          <w:szCs w:val="24"/>
        </w:rPr>
      </w:pPr>
      <w:r w:rsidRPr="00AC5D57">
        <w:rPr>
          <w:rFonts w:ascii="Times New Roman" w:hAnsi="Times New Roman" w:cs="Times New Roman"/>
          <w:sz w:val="24"/>
          <w:szCs w:val="24"/>
        </w:rPr>
        <w:t>A következő ábra szemlélteti az előbb leírtakat</w:t>
      </w:r>
      <w:r w:rsidR="00D74D7C">
        <w:rPr>
          <w:rFonts w:ascii="Times New Roman" w:hAnsi="Times New Roman" w:cs="Times New Roman"/>
          <w:sz w:val="24"/>
          <w:szCs w:val="24"/>
        </w:rPr>
        <w:t xml:space="preserve"> (</w:t>
      </w:r>
      <w:r w:rsidR="00126740">
        <w:rPr>
          <w:rFonts w:ascii="Times New Roman" w:hAnsi="Times New Roman" w:cs="Times New Roman"/>
          <w:sz w:val="24"/>
          <w:szCs w:val="24"/>
        </w:rPr>
        <w:t>9</w:t>
      </w:r>
      <w:r>
        <w:rPr>
          <w:rFonts w:ascii="Times New Roman" w:hAnsi="Times New Roman" w:cs="Times New Roman"/>
          <w:sz w:val="24"/>
          <w:szCs w:val="24"/>
        </w:rPr>
        <w:t>.</w:t>
      </w:r>
      <w:r w:rsidR="00D74D7C">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AC5D57" w:rsidRDefault="00FF0C9A" w:rsidP="00FF0C9A">
      <w:pPr>
        <w:autoSpaceDE w:val="0"/>
        <w:autoSpaceDN w:val="0"/>
        <w:adjustRightInd w:val="0"/>
        <w:spacing w:after="0" w:line="360" w:lineRule="auto"/>
        <w:jc w:val="both"/>
        <w:rPr>
          <w:rFonts w:ascii="Times New Roman" w:hAnsi="Times New Roman" w:cs="Times New Roman"/>
          <w:sz w:val="24"/>
          <w:szCs w:val="24"/>
        </w:rPr>
      </w:pPr>
      <w:r w:rsidRPr="00AC5D57">
        <w:rPr>
          <w:rFonts w:ascii="Times New Roman" w:hAnsi="Times New Roman" w:cs="Times New Roman"/>
          <w:noProof/>
          <w:sz w:val="24"/>
          <w:szCs w:val="24"/>
          <w:lang w:eastAsia="hu-HU"/>
        </w:rPr>
        <w:drawing>
          <wp:inline distT="0" distB="0" distL="0" distR="0">
            <wp:extent cx="5762625" cy="2533650"/>
            <wp:effectExtent l="0" t="0" r="0" b="0"/>
            <wp:docPr id="12" name="Objektum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3744416"/>
                      <a:chOff x="251520" y="2132856"/>
                      <a:chExt cx="8424936" cy="3744416"/>
                    </a:xfrm>
                  </a:grpSpPr>
                  <a:sp>
                    <a:nvSpPr>
                      <a:cNvPr id="4" name="Lekerekített téglalap 3"/>
                      <a:cNvSpPr/>
                    </a:nvSpPr>
                    <a:spPr>
                      <a:xfrm>
                        <a:off x="1619672" y="2132856"/>
                        <a:ext cx="1440160" cy="720080"/>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Kezdeti megjelenítés</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Lekerekített téglalap 5"/>
                      <a:cNvSpPr/>
                    </a:nvSpPr>
                    <a:spPr>
                      <a:xfrm>
                        <a:off x="3275856" y="2132856"/>
                        <a:ext cx="1728192" cy="720080"/>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Jelentős növekedés a hitelezési kockázatban</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Lekerekített téglalap 6"/>
                      <a:cNvSpPr/>
                    </a:nvSpPr>
                    <a:spPr>
                      <a:xfrm>
                        <a:off x="5220072" y="2132856"/>
                        <a:ext cx="1872208" cy="720080"/>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Ténylegesen értékvesztetté válik az eszköz</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Lekerekített téglalap 7"/>
                      <a:cNvSpPr/>
                    </a:nvSpPr>
                    <a:spPr>
                      <a:xfrm>
                        <a:off x="2339752" y="3501008"/>
                        <a:ext cx="1728192" cy="648072"/>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12 havi várható hitelezési veszteségek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Lekerekített téglalap 8"/>
                      <a:cNvSpPr/>
                    </a:nvSpPr>
                    <a:spPr>
                      <a:xfrm>
                        <a:off x="4211960" y="3501008"/>
                        <a:ext cx="4464496" cy="648072"/>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Teljes élettartam alatti várható hitelezési veszteségek</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Lekerekített téglalap 9"/>
                      <a:cNvSpPr/>
                    </a:nvSpPr>
                    <a:spPr>
                      <a:xfrm>
                        <a:off x="2339752" y="4365104"/>
                        <a:ext cx="3744416" cy="648072"/>
                      </a:xfrm>
                      <a:prstGeom prst="roundRect">
                        <a:avLst/>
                      </a:prstGeom>
                      <a:solidFill>
                        <a:schemeClr val="tx2">
                          <a:lumMod val="40000"/>
                          <a:lumOff val="60000"/>
                        </a:schemeClr>
                      </a:solidFill>
                      <a:ln>
                        <a:solidFill>
                          <a:schemeClr val="accent1">
                            <a:lumMod val="7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Az </a:t>
                          </a:r>
                          <a:r>
                            <a:rPr lang="hu-HU" sz="1400" b="1" dirty="0" smtClean="0">
                              <a:solidFill>
                                <a:schemeClr val="tx1"/>
                              </a:solidFill>
                            </a:rPr>
                            <a:t>elszámolt értékvesztésekkel nem csökkentett </a:t>
                          </a:r>
                          <a:r>
                            <a:rPr lang="hu-HU" sz="1400" b="1" dirty="0" err="1" smtClean="0">
                              <a:solidFill>
                                <a:schemeClr val="tx1"/>
                              </a:solidFill>
                            </a:rPr>
                            <a:t>k.sz.é.-en</a:t>
                          </a:r>
                          <a:r>
                            <a:rPr lang="hu-HU" sz="1400" b="1" dirty="0" smtClean="0">
                              <a:solidFill>
                                <a:schemeClr val="tx1"/>
                              </a:solidFill>
                            </a:rPr>
                            <a:t>* az eredeti effektív kamatlábbal számolva</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Lekerekített téglalap 10"/>
                      <a:cNvSpPr/>
                    </a:nvSpPr>
                    <a:spPr>
                      <a:xfrm>
                        <a:off x="6228184" y="4365104"/>
                        <a:ext cx="2448272" cy="648072"/>
                      </a:xfrm>
                      <a:prstGeom prst="roundRect">
                        <a:avLst/>
                      </a:prstGeom>
                      <a:solidFill>
                        <a:schemeClr val="tx2">
                          <a:lumMod val="40000"/>
                          <a:lumOff val="60000"/>
                        </a:schemeClr>
                      </a:solidFill>
                      <a:ln>
                        <a:solidFill>
                          <a:schemeClr val="accent1">
                            <a:lumMod val="7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A </a:t>
                          </a:r>
                          <a:r>
                            <a:rPr lang="hu-HU" sz="1400" b="1" dirty="0" smtClean="0">
                              <a:solidFill>
                                <a:schemeClr val="tx1"/>
                              </a:solidFill>
                            </a:rPr>
                            <a:t>tényleges értékvesztéssel </a:t>
                          </a:r>
                          <a:r>
                            <a:rPr lang="hu-HU" sz="1400" b="1" dirty="0" err="1" smtClean="0">
                              <a:solidFill>
                                <a:schemeClr val="tx1"/>
                              </a:solidFill>
                            </a:rPr>
                            <a:t>csökk</a:t>
                          </a:r>
                          <a:r>
                            <a:rPr lang="hu-HU" sz="1400" b="1" dirty="0" smtClean="0">
                              <a:solidFill>
                                <a:schemeClr val="tx1"/>
                              </a:solidFill>
                            </a:rPr>
                            <a:t>. </a:t>
                          </a:r>
                          <a:r>
                            <a:rPr lang="hu-HU" sz="1400" b="1" dirty="0" err="1" smtClean="0">
                              <a:solidFill>
                                <a:schemeClr val="tx1"/>
                              </a:solidFill>
                            </a:rPr>
                            <a:t>k.sz.é.-en</a:t>
                          </a:r>
                          <a:r>
                            <a:rPr lang="hu-HU" sz="1400" b="1" dirty="0" smtClean="0">
                              <a:solidFill>
                                <a:schemeClr val="tx1"/>
                              </a:solidFill>
                            </a:rPr>
                            <a:t>* </a:t>
                          </a:r>
                          <a:r>
                            <a:rPr lang="hu-HU" sz="1400" b="1" dirty="0" smtClean="0">
                              <a:solidFill>
                                <a:schemeClr val="tx1"/>
                              </a:solidFill>
                            </a:rPr>
                            <a:t>az </a:t>
                          </a:r>
                          <a:r>
                            <a:rPr lang="hu-HU" sz="1400" b="1" dirty="0" smtClean="0">
                              <a:solidFill>
                                <a:schemeClr val="tx1"/>
                              </a:solidFill>
                            </a:rPr>
                            <a:t>eredeti </a:t>
                          </a:r>
                          <a:r>
                            <a:rPr lang="hu-HU" sz="1400" b="1" dirty="0" err="1" smtClean="0">
                              <a:solidFill>
                                <a:schemeClr val="tx1"/>
                              </a:solidFill>
                            </a:rPr>
                            <a:t>eff</a:t>
                          </a:r>
                          <a:r>
                            <a:rPr lang="hu-HU" sz="1400" b="1" dirty="0" smtClean="0">
                              <a:solidFill>
                                <a:schemeClr val="tx1"/>
                              </a:solidFill>
                            </a:rPr>
                            <a:t>. kamatlábbal számolva </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Lekerekített téglalap 11"/>
                      <a:cNvSpPr/>
                    </a:nvSpPr>
                    <a:spPr>
                      <a:xfrm>
                        <a:off x="2339752" y="5229200"/>
                        <a:ext cx="6336704" cy="648072"/>
                      </a:xfrm>
                      <a:prstGeom prst="roundRect">
                        <a:avLst/>
                      </a:prstGeom>
                      <a:ln>
                        <a:solidFill>
                          <a:schemeClr val="tx2"/>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b="1" dirty="0" smtClean="0">
                              <a:solidFill>
                                <a:schemeClr val="tx1"/>
                              </a:solidFill>
                            </a:rPr>
                            <a:t>A </a:t>
                          </a:r>
                          <a:r>
                            <a:rPr lang="hu-HU" sz="1400" b="1" dirty="0" smtClean="0">
                              <a:solidFill>
                                <a:schemeClr val="tx1"/>
                              </a:solidFill>
                            </a:rPr>
                            <a:t>kezdeti értékvesztettségnek köszönhetően kiigazított effektív </a:t>
                          </a:r>
                          <a:r>
                            <a:rPr lang="hu-HU" sz="1400" b="1" dirty="0" smtClean="0">
                              <a:solidFill>
                                <a:schemeClr val="tx1"/>
                              </a:solidFill>
                            </a:rPr>
                            <a:t>kamatlábbal számolva </a:t>
                          </a:r>
                          <a:r>
                            <a:rPr lang="hu-HU" sz="1400" b="1" dirty="0" smtClean="0">
                              <a:solidFill>
                                <a:schemeClr val="tx1"/>
                              </a:solidFill>
                            </a:rPr>
                            <a:t>a </a:t>
                          </a:r>
                          <a:r>
                            <a:rPr lang="hu-HU" sz="1400" b="1" dirty="0" smtClean="0">
                              <a:solidFill>
                                <a:schemeClr val="tx1"/>
                              </a:solidFill>
                            </a:rPr>
                            <a:t>tényleges értékvesztéssel </a:t>
                          </a:r>
                          <a:r>
                            <a:rPr lang="hu-HU" sz="1400" b="1" dirty="0" smtClean="0">
                              <a:solidFill>
                                <a:schemeClr val="tx1"/>
                              </a:solidFill>
                            </a:rPr>
                            <a:t>csökkentett könyv szerinti értéken</a:t>
                          </a:r>
                          <a:endParaRPr lang="hu-HU" sz="14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Egyenes összekötő nyíllal 15"/>
                      <a:cNvCxnSpPr>
                        <a:stCxn id="4" idx="2"/>
                      </a:cNvCxnSpPr>
                    </a:nvCxnSpPr>
                    <a:spPr>
                      <a:xfrm>
                        <a:off x="2339752" y="2852936"/>
                        <a:ext cx="0" cy="57606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Egyenes összekötő nyíllal 21"/>
                      <a:cNvCxnSpPr/>
                    </a:nvCxnSpPr>
                    <a:spPr>
                      <a:xfrm>
                        <a:off x="6156176" y="2852936"/>
                        <a:ext cx="0" cy="57606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Egyenes összekötő nyíllal 23"/>
                      <a:cNvCxnSpPr>
                        <a:stCxn id="6" idx="2"/>
                      </a:cNvCxnSpPr>
                    </a:nvCxnSpPr>
                    <a:spPr>
                      <a:xfrm>
                        <a:off x="4139952" y="2852936"/>
                        <a:ext cx="0" cy="57606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9" name="Szövegdoboz 28"/>
                      <a:cNvSpPr txBox="1"/>
                    </a:nvSpPr>
                    <a:spPr>
                      <a:xfrm>
                        <a:off x="251520" y="4509120"/>
                        <a:ext cx="1584176" cy="307777"/>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Kamatbevétel</a:t>
                          </a:r>
                          <a:endParaRPr lang="hu-HU" sz="1400" b="1" dirty="0"/>
                        </a:p>
                      </a:txBody>
                      <a:useSpRect/>
                    </a:txSp>
                  </a:sp>
                  <a:cxnSp>
                    <a:nvCxnSpPr>
                      <a:cNvPr id="33" name="Egyenes összekötő 32"/>
                      <a:cNvCxnSpPr/>
                    </a:nvCxnSpPr>
                    <a:spPr>
                      <a:xfrm>
                        <a:off x="323528" y="4221088"/>
                        <a:ext cx="1872208"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37" name="Szövegdoboz 36"/>
                      <a:cNvSpPr txBox="1"/>
                    </a:nvSpPr>
                    <a:spPr>
                      <a:xfrm>
                        <a:off x="251520" y="3501008"/>
                        <a:ext cx="1584176" cy="523220"/>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Értékvesztési veszteségek</a:t>
                          </a:r>
                          <a:endParaRPr lang="hu-HU" sz="1400" b="1" dirty="0"/>
                        </a:p>
                      </a:txBody>
                      <a:useSpRect/>
                    </a:txSp>
                  </a:sp>
                  <a:sp>
                    <a:nvSpPr>
                      <a:cNvPr id="38" name="Szövegdoboz 37"/>
                      <a:cNvSpPr txBox="1"/>
                    </a:nvSpPr>
                    <a:spPr>
                      <a:xfrm>
                        <a:off x="251520" y="5301208"/>
                        <a:ext cx="2232248" cy="523220"/>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400" b="1" dirty="0" smtClean="0"/>
                            <a:t>Kamatbevétel </a:t>
                          </a:r>
                          <a:r>
                            <a:rPr lang="hu-HU" sz="1400" b="1" dirty="0" smtClean="0"/>
                            <a:t>a kezdetben értékvesztett eszközöknél</a:t>
                          </a:r>
                          <a:endParaRPr lang="hu-HU" sz="1400" b="1" dirty="0"/>
                        </a:p>
                      </a:txBody>
                      <a:useSpRect/>
                    </a:txSp>
                  </a:sp>
                  <a:cxnSp>
                    <a:nvCxnSpPr>
                      <a:cNvPr id="39" name="Egyenes összekötő 38"/>
                      <a:cNvCxnSpPr/>
                    </a:nvCxnSpPr>
                    <a:spPr>
                      <a:xfrm>
                        <a:off x="323528" y="5085184"/>
                        <a:ext cx="1872208"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3C04A9">
        <w:rPr>
          <w:rFonts w:ascii="Times New Roman" w:hAnsi="Times New Roman" w:cs="Times New Roman"/>
          <w:sz w:val="20"/>
          <w:szCs w:val="20"/>
        </w:rPr>
        <w:t>http://www.kpmg.com/Global/en/IssuesAndInsights/ArticlesPublications/first-impressions/Documents/first-impressions-IFRS9.pdf</w:t>
      </w:r>
      <w:r>
        <w:rPr>
          <w:rFonts w:ascii="Times New Roman" w:hAnsi="Times New Roman" w:cs="Times New Roman"/>
          <w:sz w:val="20"/>
          <w:szCs w:val="20"/>
        </w:rPr>
        <w:t>, 12.9.</w:t>
      </w:r>
    </w:p>
    <w:p w:rsidR="00FF0C9A" w:rsidRPr="007E2DC3" w:rsidRDefault="00FF0C9A" w:rsidP="00FF0C9A">
      <w:pPr>
        <w:autoSpaceDE w:val="0"/>
        <w:autoSpaceDN w:val="0"/>
        <w:adjustRightInd w:val="0"/>
        <w:spacing w:after="240" w:line="240" w:lineRule="auto"/>
        <w:jc w:val="both"/>
        <w:rPr>
          <w:rFonts w:ascii="Times New Roman" w:hAnsi="Times New Roman" w:cs="Times New Roman"/>
          <w:sz w:val="20"/>
          <w:szCs w:val="20"/>
        </w:rPr>
      </w:pPr>
      <w:r w:rsidRPr="007E2DC3">
        <w:rPr>
          <w:rFonts w:ascii="Times New Roman" w:hAnsi="Times New Roman" w:cs="Times New Roman"/>
          <w:sz w:val="20"/>
          <w:szCs w:val="20"/>
        </w:rPr>
        <w:t>*könyv szerinti értéken</w:t>
      </w:r>
      <w:r w:rsidRPr="007E2DC3">
        <w:rPr>
          <w:rFonts w:ascii="Times New Roman" w:hAnsi="Times New Roman" w:cs="Times New Roman"/>
          <w:sz w:val="20"/>
          <w:szCs w:val="20"/>
        </w:rPr>
        <w:tab/>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általános megközelítés azonban nem ennyire egzakt a legtöbbször, néhány (később részletesebben bemutatott) terület tovább színesíti:</w:t>
      </w:r>
    </w:p>
    <w:p w:rsidR="00FF0C9A" w:rsidRPr="00AC5D57" w:rsidRDefault="00FF0C9A" w:rsidP="00174EBB">
      <w:pPr>
        <w:pStyle w:val="Listaszerbekezds"/>
        <w:numPr>
          <w:ilvl w:val="0"/>
          <w:numId w:val="5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egyéb átfogó eredménnyel szemben valós értéken értékelt eszközök értékvesztése</w:t>
      </w:r>
    </w:p>
    <w:p w:rsidR="00FF0C9A" w:rsidRPr="00AC5D57" w:rsidRDefault="00FF0C9A" w:rsidP="00174EBB">
      <w:pPr>
        <w:pStyle w:val="Listaszerbekezds"/>
        <w:numPr>
          <w:ilvl w:val="0"/>
          <w:numId w:val="5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hitelnyújtási elkötelezettségek</w:t>
      </w:r>
    </w:p>
    <w:p w:rsidR="00FF0C9A" w:rsidRPr="00AC5D57" w:rsidRDefault="00FF0C9A" w:rsidP="00174EBB">
      <w:pPr>
        <w:pStyle w:val="Listaszerbekezds"/>
        <w:numPr>
          <w:ilvl w:val="0"/>
          <w:numId w:val="5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pénzügyi </w:t>
      </w:r>
      <w:proofErr w:type="gramStart"/>
      <w:r w:rsidRPr="00AC5D57">
        <w:rPr>
          <w:rFonts w:ascii="Times New Roman" w:hAnsi="Times New Roman" w:cs="Times New Roman"/>
          <w:sz w:val="24"/>
          <w:szCs w:val="24"/>
        </w:rPr>
        <w:t>garancia szerződések</w:t>
      </w:r>
      <w:proofErr w:type="gramEnd"/>
    </w:p>
    <w:p w:rsidR="00FF0C9A" w:rsidRPr="00AC5D57" w:rsidRDefault="00FF0C9A" w:rsidP="00174EBB">
      <w:pPr>
        <w:pStyle w:val="Listaszerbekezds"/>
        <w:numPr>
          <w:ilvl w:val="0"/>
          <w:numId w:val="50"/>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pénzügyi eszközök átsorolása illetve (szerződéses cash flow-inak) módosulása.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Először azonban a várható hitelezési veszteségek mérésére és a hitelezési kockázat szignifikáns megnövekedésének vizsgálatára térek ki részletesebben. </w:t>
      </w: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A várható hitelezési veszteségek és mérésük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hitelezési veszteségek a következők diszkontált</w:t>
      </w:r>
      <w:r w:rsidRPr="00AC5D57">
        <w:rPr>
          <w:rStyle w:val="Lbjegyzet-hivatkozs"/>
          <w:rFonts w:ascii="Times New Roman" w:hAnsi="Times New Roman" w:cs="Times New Roman"/>
          <w:sz w:val="24"/>
          <w:szCs w:val="24"/>
        </w:rPr>
        <w:footnoteReference w:id="12"/>
      </w:r>
      <w:r w:rsidRPr="00AC5D57">
        <w:rPr>
          <w:rFonts w:ascii="Times New Roman" w:hAnsi="Times New Roman" w:cs="Times New Roman"/>
          <w:sz w:val="24"/>
          <w:szCs w:val="24"/>
        </w:rPr>
        <w:t xml:space="preserve"> </w:t>
      </w:r>
      <w:r w:rsidRPr="00C62992">
        <w:rPr>
          <w:rFonts w:ascii="Times New Roman" w:hAnsi="Times New Roman" w:cs="Times New Roman"/>
          <w:b/>
          <w:sz w:val="24"/>
          <w:szCs w:val="24"/>
        </w:rPr>
        <w:t>különbségei</w:t>
      </w:r>
      <w:r w:rsidRPr="00AC5D57">
        <w:rPr>
          <w:rFonts w:ascii="Times New Roman" w:hAnsi="Times New Roman" w:cs="Times New Roman"/>
          <w:sz w:val="24"/>
          <w:szCs w:val="24"/>
        </w:rPr>
        <w:t>:</w:t>
      </w:r>
    </w:p>
    <w:p w:rsidR="00FF0C9A" w:rsidRPr="00AC5D57" w:rsidRDefault="00FF0C9A" w:rsidP="00174EBB">
      <w:pPr>
        <w:pStyle w:val="Listaszerbekezds"/>
        <w:numPr>
          <w:ilvl w:val="0"/>
          <w:numId w:val="39"/>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szerződésből származó összes szerződéses cash flow</w:t>
      </w:r>
    </w:p>
    <w:p w:rsidR="00FF0C9A" w:rsidRPr="00AC5D57" w:rsidRDefault="00FF0C9A" w:rsidP="00174EBB">
      <w:pPr>
        <w:pStyle w:val="Listaszerbekezds"/>
        <w:numPr>
          <w:ilvl w:val="0"/>
          <w:numId w:val="39"/>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azon cash flow-k, amelyeket a gazdálkodó egység vélekedése szerint meg is fog kapni a jövőben.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cash flow-k becslése során figyelembe kell venni a következőket is:</w:t>
      </w:r>
    </w:p>
    <w:p w:rsidR="00FF0C9A" w:rsidRPr="00AC5D57" w:rsidRDefault="00FF0C9A" w:rsidP="00174EBB">
      <w:pPr>
        <w:pStyle w:val="Listaszerbekezds"/>
        <w:numPr>
          <w:ilvl w:val="0"/>
          <w:numId w:val="40"/>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szerződést biztosító vagy minősítését javító – a szerződéses feltételek szempontjából lényeges és nem elkülönítetten megjelenített – egyéb kötelezettségvállalások</w:t>
      </w:r>
      <w:r w:rsidR="00D74D7C">
        <w:rPr>
          <w:rFonts w:ascii="Times New Roman" w:hAnsi="Times New Roman" w:cs="Times New Roman"/>
          <w:sz w:val="24"/>
          <w:szCs w:val="24"/>
        </w:rPr>
        <w:t>/</w:t>
      </w:r>
      <w:r w:rsidRPr="00AC5D57">
        <w:rPr>
          <w:rFonts w:ascii="Times New Roman" w:hAnsi="Times New Roman" w:cs="Times New Roman"/>
          <w:sz w:val="24"/>
          <w:szCs w:val="24"/>
        </w:rPr>
        <w:t>instrumentumok eladásából származó cash flow-kat</w:t>
      </w:r>
    </w:p>
    <w:p w:rsidR="00FF0C9A" w:rsidRPr="00AC5D57" w:rsidRDefault="00FF0C9A" w:rsidP="00174EBB">
      <w:pPr>
        <w:pStyle w:val="Listaszerbekezds"/>
        <w:numPr>
          <w:ilvl w:val="0"/>
          <w:numId w:val="40"/>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 összes szerződéses feltételt a pénzügyi instrumentum teljes várható élettartama alatt, ha az élettartama nem becsülhető megbízhatóan, akkor pedig a hátralévő szerződéses időszak alatt.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w:t>
      </w:r>
      <w:r w:rsidRPr="00AC5D57">
        <w:rPr>
          <w:rFonts w:ascii="Times New Roman" w:hAnsi="Times New Roman" w:cs="Times New Roman"/>
          <w:b/>
          <w:sz w:val="24"/>
          <w:szCs w:val="24"/>
        </w:rPr>
        <w:t>várható hitelezési veszteségek</w:t>
      </w:r>
      <w:r w:rsidRPr="00AC5D57">
        <w:rPr>
          <w:rFonts w:ascii="Times New Roman" w:hAnsi="Times New Roman" w:cs="Times New Roman"/>
          <w:sz w:val="24"/>
          <w:szCs w:val="24"/>
        </w:rPr>
        <w:t xml:space="preserve"> definíciója az IFRS 9 standard alapján: az előbb említett hitelezési veszteségek egy olyan </w:t>
      </w:r>
      <w:r w:rsidRPr="00AC5D57">
        <w:rPr>
          <w:rFonts w:ascii="Times New Roman" w:hAnsi="Times New Roman" w:cs="Times New Roman"/>
          <w:b/>
          <w:sz w:val="24"/>
          <w:szCs w:val="24"/>
        </w:rPr>
        <w:t>súlyozott átlaga</w:t>
      </w:r>
      <w:r w:rsidRPr="00AC5D57">
        <w:rPr>
          <w:rFonts w:ascii="Times New Roman" w:hAnsi="Times New Roman" w:cs="Times New Roman"/>
          <w:sz w:val="24"/>
          <w:szCs w:val="24"/>
        </w:rPr>
        <w:t>, ahol a súlyok az egyes hitelezési veszteségekhez tartozó – az adott fizetési nem teljesítéshez kapcsolódó – kockázatok.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értékvesztési modellben a </w:t>
      </w:r>
      <w:r w:rsidRPr="00AC5D57">
        <w:rPr>
          <w:rFonts w:ascii="Times New Roman" w:hAnsi="Times New Roman" w:cs="Times New Roman"/>
          <w:b/>
          <w:sz w:val="24"/>
          <w:szCs w:val="24"/>
        </w:rPr>
        <w:t xml:space="preserve">fizetés </w:t>
      </w:r>
      <w:proofErr w:type="spellStart"/>
      <w:r w:rsidRPr="00AC5D57">
        <w:rPr>
          <w:rFonts w:ascii="Times New Roman" w:hAnsi="Times New Roman" w:cs="Times New Roman"/>
          <w:b/>
          <w:sz w:val="24"/>
          <w:szCs w:val="24"/>
        </w:rPr>
        <w:t>nemteljesítése</w:t>
      </w:r>
      <w:proofErr w:type="spellEnd"/>
      <w:r w:rsidRPr="00AC5D57">
        <w:rPr>
          <w:rFonts w:ascii="Times New Roman" w:hAnsi="Times New Roman" w:cs="Times New Roman"/>
          <w:sz w:val="24"/>
          <w:szCs w:val="24"/>
        </w:rPr>
        <w:t xml:space="preserve"> vagy fizetésképtelenség kifejezés jelentésének tisztázása elengedhetetlen. A standard még sem határozza meg egyértelműen, hogy mikortól (a fizetési határidő után hányadik naptól) beszélhetünk egy pénzügyi instrumentum kapcsán a fizetés elmaradásáról (fizetésképtelenségről). Ezt azzal magyarázza, hogy a gazdálkodó egységek eltérő értékeket, illetve definíciókat használnak erre vonatkozóan, és így egy konkrét szám vagy definíció kijelölésével inkonzisztenciákat szülne az IASB a gazdálkodó egységek működésében. Azonban feloldva ezt a helyzetet, az IFRS 9 feltételezi, hogy a fizetésképtelenség ténye </w:t>
      </w:r>
      <w:r w:rsidRPr="00AC5D57">
        <w:rPr>
          <w:rFonts w:ascii="Times New Roman" w:hAnsi="Times New Roman" w:cs="Times New Roman"/>
          <w:b/>
          <w:sz w:val="24"/>
          <w:szCs w:val="24"/>
        </w:rPr>
        <w:t>nem következhet be később, mint a fizetési határidő utáni 90. nap</w:t>
      </w:r>
      <w:r w:rsidRPr="00AC5D57">
        <w:rPr>
          <w:rFonts w:ascii="Times New Roman" w:hAnsi="Times New Roman" w:cs="Times New Roman"/>
          <w:sz w:val="24"/>
          <w:szCs w:val="24"/>
        </w:rPr>
        <w:t xml:space="preserve"> (= a 91. nap előtt be kell következnie, de mindegy, hogy mikor). Ez a feltételezés csak akkor cáfolható meg vagy utasítható vissza, ha a gazdálkodó egység rendelkezik olyan ésszerű és alátámasztható</w:t>
      </w:r>
      <w:r>
        <w:rPr>
          <w:rFonts w:ascii="Times New Roman" w:hAnsi="Times New Roman" w:cs="Times New Roman"/>
          <w:sz w:val="24"/>
          <w:szCs w:val="24"/>
        </w:rPr>
        <w:t xml:space="preserve"> információkkal</w:t>
      </w:r>
      <w:r w:rsidRPr="00AC5D57">
        <w:rPr>
          <w:rFonts w:ascii="Times New Roman" w:hAnsi="Times New Roman" w:cs="Times New Roman"/>
          <w:sz w:val="24"/>
          <w:szCs w:val="24"/>
        </w:rPr>
        <w:t>, amelyek lehetővé teszik egy másik feltételezés létjogosultságát, és támogatják is azt.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w:t>
      </w:r>
      <w:r w:rsidRPr="00AC5D57">
        <w:rPr>
          <w:rFonts w:ascii="Times New Roman" w:hAnsi="Times New Roman" w:cs="Times New Roman"/>
          <w:b/>
          <w:sz w:val="24"/>
          <w:szCs w:val="24"/>
        </w:rPr>
        <w:t>teljes élettartam alatti</w:t>
      </w:r>
      <w:r w:rsidRPr="00AC5D57">
        <w:rPr>
          <w:rFonts w:ascii="Times New Roman" w:hAnsi="Times New Roman" w:cs="Times New Roman"/>
          <w:sz w:val="24"/>
          <w:szCs w:val="24"/>
        </w:rPr>
        <w:t xml:space="preserve"> várható hitelezési veszteségek azok a várható hitelezési veszteségek, amelyeket a pénzügyi instrumentum teljes élettartama alatti lehetséges fizetési </w:t>
      </w:r>
      <w:proofErr w:type="spellStart"/>
      <w:r w:rsidRPr="00AC5D57">
        <w:rPr>
          <w:rFonts w:ascii="Times New Roman" w:hAnsi="Times New Roman" w:cs="Times New Roman"/>
          <w:sz w:val="24"/>
          <w:szCs w:val="24"/>
        </w:rPr>
        <w:t>nemteljesítések</w:t>
      </w:r>
      <w:proofErr w:type="spellEnd"/>
      <w:r w:rsidRPr="00AC5D57">
        <w:rPr>
          <w:rFonts w:ascii="Times New Roman" w:hAnsi="Times New Roman" w:cs="Times New Roman"/>
          <w:sz w:val="24"/>
          <w:szCs w:val="24"/>
        </w:rPr>
        <w:t xml:space="preserve"> eredményeznek. Becslésük: a pénzügyi eszköz teljes</w:t>
      </w:r>
      <w:r>
        <w:rPr>
          <w:rFonts w:ascii="Times New Roman" w:hAnsi="Times New Roman" w:cs="Times New Roman"/>
          <w:sz w:val="24"/>
          <w:szCs w:val="24"/>
        </w:rPr>
        <w:t xml:space="preserve"> hátralévő élettartama alatt az</w:t>
      </w:r>
    </w:p>
    <w:p w:rsidR="00FF0C9A" w:rsidRPr="00AC5D57" w:rsidRDefault="00FF0C9A" w:rsidP="00174EBB">
      <w:pPr>
        <w:pStyle w:val="Listaszerbekezds"/>
        <w:numPr>
          <w:ilvl w:val="0"/>
          <w:numId w:val="42"/>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összes – szerződés szerint járó – szerződéses cash flow, és</w:t>
      </w:r>
    </w:p>
    <w:p w:rsidR="00FF0C9A" w:rsidRPr="00AC5D57" w:rsidRDefault="00FF0C9A" w:rsidP="00174EBB">
      <w:pPr>
        <w:pStyle w:val="Listaszerbekezds"/>
        <w:numPr>
          <w:ilvl w:val="0"/>
          <w:numId w:val="42"/>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cash flow-k, amelyeket a hitelező a várakozásai alapján meg is fog ténylegesen kapni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roofErr w:type="gramStart"/>
      <w:r w:rsidRPr="00C62992">
        <w:rPr>
          <w:rFonts w:ascii="Times New Roman" w:hAnsi="Times New Roman" w:cs="Times New Roman"/>
          <w:b/>
          <w:sz w:val="24"/>
          <w:szCs w:val="24"/>
        </w:rPr>
        <w:t>különbségének</w:t>
      </w:r>
      <w:proofErr w:type="gramEnd"/>
      <w:r w:rsidRPr="00AC5D57">
        <w:rPr>
          <w:rFonts w:ascii="Times New Roman" w:hAnsi="Times New Roman" w:cs="Times New Roman"/>
          <w:sz w:val="24"/>
          <w:szCs w:val="24"/>
        </w:rPr>
        <w:t xml:space="preserve"> (súlyozott) jelenértéke.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w:t>
      </w:r>
      <w:r w:rsidRPr="00AC5D57">
        <w:rPr>
          <w:rFonts w:ascii="Times New Roman" w:hAnsi="Times New Roman" w:cs="Times New Roman"/>
          <w:b/>
          <w:sz w:val="24"/>
          <w:szCs w:val="24"/>
        </w:rPr>
        <w:t>12 havi</w:t>
      </w:r>
      <w:r w:rsidRPr="00AC5D57">
        <w:rPr>
          <w:rFonts w:ascii="Times New Roman" w:hAnsi="Times New Roman" w:cs="Times New Roman"/>
          <w:sz w:val="24"/>
          <w:szCs w:val="24"/>
        </w:rPr>
        <w:t xml:space="preserve"> várható hitelezési veszteségek a teljes élettartam alatti várható hitelezési veszteségeknek azon része, amelyet (a fordulónaptól kezdődően) a következő 12 hónapon belüli lehetséges fizetési </w:t>
      </w:r>
      <w:proofErr w:type="spellStart"/>
      <w:r w:rsidRPr="00AC5D57">
        <w:rPr>
          <w:rFonts w:ascii="Times New Roman" w:hAnsi="Times New Roman" w:cs="Times New Roman"/>
          <w:sz w:val="24"/>
          <w:szCs w:val="24"/>
        </w:rPr>
        <w:t>nemteljesítések</w:t>
      </w:r>
      <w:proofErr w:type="spellEnd"/>
      <w:r w:rsidRPr="00AC5D57">
        <w:rPr>
          <w:rFonts w:ascii="Times New Roman" w:hAnsi="Times New Roman" w:cs="Times New Roman"/>
          <w:sz w:val="24"/>
          <w:szCs w:val="24"/>
        </w:rPr>
        <w:t xml:space="preserve"> ere</w:t>
      </w:r>
      <w:r>
        <w:rPr>
          <w:rFonts w:ascii="Times New Roman" w:hAnsi="Times New Roman" w:cs="Times New Roman"/>
          <w:sz w:val="24"/>
          <w:szCs w:val="24"/>
        </w:rPr>
        <w:t>dményeznek.</w:t>
      </w:r>
    </w:p>
    <w:p w:rsidR="00FF0C9A" w:rsidRPr="00C62992"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C62992">
        <w:rPr>
          <w:rFonts w:ascii="Times New Roman" w:hAnsi="Times New Roman" w:cs="Times New Roman"/>
          <w:b/>
          <w:sz w:val="24"/>
          <w:szCs w:val="24"/>
        </w:rPr>
        <w:t>Mérés</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várható hitelezési veszteségek mérésénél azt a maximális szerződéses időszakot kell alapul venni, amely alatt a gazdálkodó egység hitelezési kockázatnak van kitéve.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becslések során a kifizetések mennyiségét és időzítését is figyelembe kell venni, hitelezési veszteség keletkezik akkor is, ha a hitelező ugyan várakozásai alapján meg fogja kapni a neki járó összes szerződéses cash flow-t, de csak egy későbbi időpontban, mint kellene.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standard nem rendelkezik részletes előírással a várható hitelezési veszteségek mérésére vonatkozóan, de azt hangsúlyozza, hogy annak </w:t>
      </w:r>
      <w:r w:rsidRPr="00A32C3C">
        <w:rPr>
          <w:rFonts w:ascii="Times New Roman" w:hAnsi="Times New Roman" w:cs="Times New Roman"/>
          <w:b/>
          <w:sz w:val="24"/>
          <w:szCs w:val="24"/>
        </w:rPr>
        <w:t>tükröznie kell</w:t>
      </w:r>
      <w:r w:rsidRPr="00AC5D57">
        <w:rPr>
          <w:rFonts w:ascii="Times New Roman" w:hAnsi="Times New Roman" w:cs="Times New Roman"/>
          <w:sz w:val="24"/>
          <w:szCs w:val="24"/>
        </w:rPr>
        <w:t>:</w:t>
      </w:r>
    </w:p>
    <w:p w:rsidR="00FF0C9A" w:rsidRPr="00AC5D57" w:rsidRDefault="00FF0C9A" w:rsidP="00174EBB">
      <w:pPr>
        <w:pStyle w:val="Listaszerbekezds"/>
        <w:numPr>
          <w:ilvl w:val="0"/>
          <w:numId w:val="41"/>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egy tárgyilagos és valószínűséggel súlyozott összeget, amelyet a lehetséges kimenetelek kiértékeléséből adódik</w:t>
      </w:r>
    </w:p>
    <w:p w:rsidR="00FF0C9A" w:rsidRPr="00AC5D57" w:rsidRDefault="00FF0C9A" w:rsidP="00174EBB">
      <w:pPr>
        <w:pStyle w:val="Listaszerbekezds"/>
        <w:numPr>
          <w:ilvl w:val="0"/>
          <w:numId w:val="41"/>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pénz időértékét</w:t>
      </w:r>
    </w:p>
    <w:p w:rsidR="00FF0C9A" w:rsidRPr="00AC5D57" w:rsidRDefault="00FF0C9A" w:rsidP="00174EBB">
      <w:pPr>
        <w:pStyle w:val="Listaszerbekezds"/>
        <w:numPr>
          <w:ilvl w:val="0"/>
          <w:numId w:val="41"/>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azokat az ésszerű és alátámasztható </w:t>
      </w:r>
      <w:r>
        <w:rPr>
          <w:rFonts w:ascii="Times New Roman" w:hAnsi="Times New Roman" w:cs="Times New Roman"/>
          <w:sz w:val="24"/>
          <w:szCs w:val="24"/>
        </w:rPr>
        <w:t>információkat</w:t>
      </w:r>
      <w:r w:rsidRPr="00AC5D57">
        <w:rPr>
          <w:rFonts w:ascii="Times New Roman" w:hAnsi="Times New Roman" w:cs="Times New Roman"/>
          <w:sz w:val="24"/>
          <w:szCs w:val="24"/>
        </w:rPr>
        <w:t>, amelyek elérhetőek a fordulónapon túlzott költségek és erőfeszítés nélkül is a múltbeli eseményekről, az aktuális helyzetről és a jövőbeli gazdasági körülmények előrejelzéseiről, és relevánsak a várható hitelezési veszteségek mérése kapcsán.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A lehetséges kimenetelek kiértékelése a potenciális szcenáriók azonosításával jár, ami többek között</w:t>
      </w:r>
    </w:p>
    <w:p w:rsidR="00FF0C9A" w:rsidRPr="00AC5D57" w:rsidRDefault="00FF0C9A" w:rsidP="00174EBB">
      <w:pPr>
        <w:pStyle w:val="Listaszerbekezds"/>
        <w:numPr>
          <w:ilvl w:val="0"/>
          <w:numId w:val="4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 adott kimenetelekhez kapcsolódó cash flow-k összegének és időzítésének, illetve </w:t>
      </w:r>
    </w:p>
    <w:p w:rsidR="00FF0C9A" w:rsidRPr="00AC5D57" w:rsidRDefault="00FF0C9A" w:rsidP="00174EBB">
      <w:pPr>
        <w:pStyle w:val="Listaszerbekezds"/>
        <w:numPr>
          <w:ilvl w:val="0"/>
          <w:numId w:val="44"/>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ezen kimenetelek becsült valószínűségének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xml:space="preserve"> részletezését jelenti.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Egy gazdálkodó egységnek nem szükséges minden létező szcenáriót azonosítania, azonban számításba kell vennie mindig a következő </w:t>
      </w:r>
      <w:r w:rsidRPr="00A32C3C">
        <w:rPr>
          <w:rFonts w:ascii="Times New Roman" w:hAnsi="Times New Roman" w:cs="Times New Roman"/>
          <w:b/>
          <w:sz w:val="24"/>
          <w:szCs w:val="24"/>
        </w:rPr>
        <w:t>két szcenáriót legalább</w:t>
      </w:r>
      <w:r w:rsidRPr="00AC5D57">
        <w:rPr>
          <w:rFonts w:ascii="Times New Roman" w:hAnsi="Times New Roman" w:cs="Times New Roman"/>
          <w:sz w:val="24"/>
          <w:szCs w:val="24"/>
        </w:rPr>
        <w:t>:</w:t>
      </w:r>
    </w:p>
    <w:p w:rsidR="00FF0C9A" w:rsidRPr="00AC5D57" w:rsidRDefault="00FF0C9A" w:rsidP="00174EBB">
      <w:pPr>
        <w:pStyle w:val="Listaszerbekezds"/>
        <w:numPr>
          <w:ilvl w:val="0"/>
          <w:numId w:val="51"/>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annak a valószínűségét, hogy egy hitelezési veszteség felmerül, legyen bármilyen kicsi is ez az érték, és</w:t>
      </w:r>
    </w:p>
    <w:p w:rsidR="00FF0C9A" w:rsidRPr="00AC5D57" w:rsidRDefault="00FF0C9A" w:rsidP="00174EBB">
      <w:pPr>
        <w:pStyle w:val="Listaszerbekezds"/>
        <w:numPr>
          <w:ilvl w:val="0"/>
          <w:numId w:val="51"/>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annak a valószínűségét, hogy nem merül fel hitelezési veszteség.</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b) </w:t>
      </w: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xml:space="preserve"> várható hitelezési veszteségeket mindig le kell diszkontálni a fordulónapra, </w:t>
      </w:r>
      <w:proofErr w:type="spellStart"/>
      <w:r w:rsidRPr="00AC5D57">
        <w:rPr>
          <w:rFonts w:ascii="Times New Roman" w:hAnsi="Times New Roman" w:cs="Times New Roman"/>
          <w:sz w:val="24"/>
          <w:szCs w:val="24"/>
        </w:rPr>
        <w:t>enélkül</w:t>
      </w:r>
      <w:proofErr w:type="spellEnd"/>
      <w:r w:rsidRPr="00AC5D57">
        <w:rPr>
          <w:rFonts w:ascii="Times New Roman" w:hAnsi="Times New Roman" w:cs="Times New Roman"/>
          <w:sz w:val="24"/>
          <w:szCs w:val="24"/>
        </w:rPr>
        <w:t xml:space="preserve"> nem lehetne meghatározni az adott pénzügyi eszköz pontos fordulónapi értékét, mert a várható hitelezési veszteségek nem lennének összemérhetőek a fordulónapi összegekkel.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fix kamatozású pénzügyi eszközök esetében a kezdeti megjelenítéskor meghatározott effektív kamatláb (vagy egy ahhoz közelítő ráta), a változó kamatozásúaknál pedig az éppen aktuális cash flow-k alapján megbecsült effektív kamatláb lesz a diszkontráta.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c) </w:t>
      </w: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xml:space="preserve"> gazdálkodó egységektől nincs elvárva, hogy részletes értékeléseket készítsenek azon periódusokra, amelyek túl távoliak. Az információk rendelkezésre állásától függ, hogy milyen fokú becslés szükséges a várható hitelezési veszteségek mérése során.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standard kifejti</w:t>
      </w:r>
      <w:r>
        <w:rPr>
          <w:rFonts w:ascii="Times New Roman" w:hAnsi="Times New Roman" w:cs="Times New Roman"/>
          <w:sz w:val="24"/>
          <w:szCs w:val="24"/>
        </w:rPr>
        <w:t>, hogy a felhasznált információ</w:t>
      </w:r>
      <w:r w:rsidRPr="00AC5D57">
        <w:rPr>
          <w:rFonts w:ascii="Times New Roman" w:hAnsi="Times New Roman" w:cs="Times New Roman"/>
          <w:sz w:val="24"/>
          <w:szCs w:val="24"/>
        </w:rPr>
        <w:t>nak tartalmaznia kell</w:t>
      </w:r>
    </w:p>
    <w:p w:rsidR="00FF0C9A" w:rsidRPr="00AC5D57" w:rsidRDefault="00FF0C9A" w:rsidP="00174EBB">
      <w:pPr>
        <w:pStyle w:val="Listaszerbekezds"/>
        <w:numPr>
          <w:ilvl w:val="0"/>
          <w:numId w:val="52"/>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az </w:t>
      </w:r>
      <w:r w:rsidRPr="00AC5D57">
        <w:rPr>
          <w:rFonts w:ascii="Times New Roman" w:hAnsi="Times New Roman" w:cs="Times New Roman"/>
          <w:sz w:val="24"/>
          <w:szCs w:val="24"/>
        </w:rPr>
        <w:t>egyedi tényezőket a kölcsönvevőről</w:t>
      </w:r>
    </w:p>
    <w:p w:rsidR="00FF0C9A" w:rsidRPr="00AC5D57" w:rsidRDefault="00FF0C9A" w:rsidP="00174EBB">
      <w:pPr>
        <w:pStyle w:val="Listaszerbekezds"/>
        <w:numPr>
          <w:ilvl w:val="0"/>
          <w:numId w:val="52"/>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 általános gazdasági helyzetet, beleértve az esetleges változások </w:t>
      </w:r>
      <w:proofErr w:type="spellStart"/>
      <w:r w:rsidRPr="00AC5D57">
        <w:rPr>
          <w:rFonts w:ascii="Times New Roman" w:hAnsi="Times New Roman" w:cs="Times New Roman"/>
          <w:sz w:val="24"/>
          <w:szCs w:val="24"/>
        </w:rPr>
        <w:t>előrejelezhető</w:t>
      </w:r>
      <w:proofErr w:type="spellEnd"/>
      <w:r w:rsidRPr="00AC5D57">
        <w:rPr>
          <w:rFonts w:ascii="Times New Roman" w:hAnsi="Times New Roman" w:cs="Times New Roman"/>
          <w:sz w:val="24"/>
          <w:szCs w:val="24"/>
        </w:rPr>
        <w:t xml:space="preserve"> irányait is.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gazdálkodó egységek </w:t>
      </w:r>
      <w:r w:rsidRPr="00A32C3C">
        <w:rPr>
          <w:rFonts w:ascii="Times New Roman" w:hAnsi="Times New Roman" w:cs="Times New Roman"/>
          <w:b/>
          <w:sz w:val="24"/>
          <w:szCs w:val="24"/>
        </w:rPr>
        <w:t>sokféle adatforrást</w:t>
      </w:r>
      <w:r w:rsidRPr="00AC5D57">
        <w:rPr>
          <w:rFonts w:ascii="Times New Roman" w:hAnsi="Times New Roman" w:cs="Times New Roman"/>
          <w:sz w:val="24"/>
          <w:szCs w:val="24"/>
        </w:rPr>
        <w:t xml:space="preserve"> használhatnak, belső és külső adatokat egyaránt:</w:t>
      </w:r>
    </w:p>
    <w:p w:rsidR="00FF0C9A" w:rsidRPr="00AC5D57" w:rsidRDefault="00FF0C9A" w:rsidP="00174EBB">
      <w:pPr>
        <w:pStyle w:val="Listaszerbekezds"/>
        <w:numPr>
          <w:ilvl w:val="0"/>
          <w:numId w:val="4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hitelezési veszteségekkel kapcsolatos korábbi (belső) tapasztalatokat</w:t>
      </w:r>
    </w:p>
    <w:p w:rsidR="00FF0C9A" w:rsidRPr="00AC5D57" w:rsidRDefault="00FF0C9A" w:rsidP="00174EBB">
      <w:pPr>
        <w:pStyle w:val="Listaszerbekezds"/>
        <w:numPr>
          <w:ilvl w:val="0"/>
          <w:numId w:val="4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belső és külső értékeléseket, riportokat, statisztikákat</w:t>
      </w:r>
    </w:p>
    <w:p w:rsidR="00FF0C9A" w:rsidRPr="00AC5D57" w:rsidRDefault="00FF0C9A" w:rsidP="00174EBB">
      <w:pPr>
        <w:pStyle w:val="Listaszerbekezds"/>
        <w:numPr>
          <w:ilvl w:val="0"/>
          <w:numId w:val="45"/>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más gazdálkodó egységek hasonló pénzügyi instrumentumokra vonatkozó hitelezési veszteségekkel kapcsolatos tapasztalatait.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IFRS 9 nem definiálja azt, hogy mely információk számítanak elérhetőnek túlzott költségek és erőfeszítés nélkül, azonban egyértelműen kiderül belőle, hogy a pénzügyi beszámolás céljából rendelkezésre álló információk ilyennek minősülnek.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gazdálkodó egységeknek figyelembe kell venniük </w:t>
      </w: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z) – aktuális helyzet tükrözése érdekében – kiigazított régebbi információk használatánál, hogy az esetleges jövőbeli változások hogyan befolyásolhatják azokat.</w:t>
      </w: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A hitelezési kockázat szignifikáns megnövekedésének vizsgálata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várható hitelezési veszteségek mérése mellett a hitelezési kockázat szignifikáns megnövekedésének vizsgálata is kritikus feladatnak számít az értékvesztés meghatározása során. Az IASB nem tett közzé </w:t>
      </w:r>
      <w:r w:rsidRPr="008D7901">
        <w:rPr>
          <w:rFonts w:ascii="Times New Roman" w:hAnsi="Times New Roman" w:cs="Times New Roman"/>
          <w:b/>
          <w:sz w:val="24"/>
          <w:szCs w:val="24"/>
        </w:rPr>
        <w:t>semmilyen mechanikus</w:t>
      </w:r>
      <w:r w:rsidRPr="00AC5D57">
        <w:rPr>
          <w:rFonts w:ascii="Times New Roman" w:hAnsi="Times New Roman" w:cs="Times New Roman"/>
          <w:sz w:val="24"/>
          <w:szCs w:val="24"/>
        </w:rPr>
        <w:t xml:space="preserve"> eljárást azzal kapcsolatban, hogy milyen módon kell meghatározni a hitelezési kockázatban bekövetkező változások jelentőségét, a gazdálkodó egységek, pénzügyi instrumentumok, rendelkezésre álló információk, stb. különbözősége miatt.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Viszont felsorolt egy (nem kizárólagos) listát azon tényezőkről, amelyek relevánsak lehetnek </w:t>
      </w:r>
      <w:proofErr w:type="gramStart"/>
      <w:r w:rsidRPr="00AC5D57">
        <w:rPr>
          <w:rFonts w:ascii="Times New Roman" w:hAnsi="Times New Roman" w:cs="Times New Roman"/>
          <w:sz w:val="24"/>
          <w:szCs w:val="24"/>
        </w:rPr>
        <w:t>ezen</w:t>
      </w:r>
      <w:proofErr w:type="gramEnd"/>
      <w:r w:rsidRPr="00AC5D57">
        <w:rPr>
          <w:rFonts w:ascii="Times New Roman" w:hAnsi="Times New Roman" w:cs="Times New Roman"/>
          <w:sz w:val="24"/>
          <w:szCs w:val="24"/>
        </w:rPr>
        <w:t xml:space="preserve"> változások mérésében, pár példa ezekből:</w:t>
      </w:r>
    </w:p>
    <w:p w:rsidR="00FF0C9A" w:rsidRPr="00AC5D57" w:rsidRDefault="00FF0C9A" w:rsidP="00174EBB">
      <w:pPr>
        <w:pStyle w:val="Listaszerbekezds"/>
        <w:numPr>
          <w:ilvl w:val="0"/>
          <w:numId w:val="3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szignifikáns változás a pénzügyi instrumentum hitelminősítésében </w:t>
      </w:r>
    </w:p>
    <w:p w:rsidR="00FF0C9A" w:rsidRPr="00AC5D57" w:rsidRDefault="00FF0C9A" w:rsidP="00174EBB">
      <w:pPr>
        <w:pStyle w:val="Listaszerbekezds"/>
        <w:numPr>
          <w:ilvl w:val="0"/>
          <w:numId w:val="3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kedvezőtlen változás (akár előrejelzés) az üzleti, pénzügyi vagy gazdasági feltételekben</w:t>
      </w:r>
    </w:p>
    <w:p w:rsidR="00FF0C9A" w:rsidRPr="00AC5D57" w:rsidRDefault="00FF0C9A" w:rsidP="00174EBB">
      <w:pPr>
        <w:pStyle w:val="Listaszerbekezds"/>
        <w:numPr>
          <w:ilvl w:val="0"/>
          <w:numId w:val="3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szignifikáns változás az adós működési eredményében </w:t>
      </w:r>
    </w:p>
    <w:p w:rsidR="00FF0C9A" w:rsidRPr="00AC5D57" w:rsidRDefault="00FF0C9A" w:rsidP="00174EBB">
      <w:pPr>
        <w:pStyle w:val="Listaszerbekezds"/>
        <w:numPr>
          <w:ilvl w:val="0"/>
          <w:numId w:val="3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jelentős hitelezési kockázat növekedés az adott kölcsönvevő más pénzügyi instrumentumait illetően</w:t>
      </w:r>
    </w:p>
    <w:p w:rsidR="00FF0C9A" w:rsidRPr="00AC5D57" w:rsidRDefault="00FF0C9A" w:rsidP="00174EBB">
      <w:pPr>
        <w:pStyle w:val="Listaszerbekezds"/>
        <w:numPr>
          <w:ilvl w:val="0"/>
          <w:numId w:val="3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szignifikáns kedvezőtlen változás az adós szabályozási, gazdasági vagy technikai környezetében</w:t>
      </w:r>
    </w:p>
    <w:p w:rsidR="00FF0C9A" w:rsidRPr="00AC5D57" w:rsidRDefault="00FF0C9A" w:rsidP="00174EBB">
      <w:pPr>
        <w:pStyle w:val="Listaszerbekezds"/>
        <w:numPr>
          <w:ilvl w:val="0"/>
          <w:numId w:val="36"/>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várható változás a hitelezési dokumentációban.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gazdálkodó egységeknek részletesen ismertetniük kell azokat az inputokat, becsléseket </w:t>
      </w:r>
      <w:proofErr w:type="gramStart"/>
      <w:r w:rsidRPr="00AC5D57">
        <w:rPr>
          <w:rFonts w:ascii="Times New Roman" w:hAnsi="Times New Roman" w:cs="Times New Roman"/>
          <w:sz w:val="24"/>
          <w:szCs w:val="24"/>
        </w:rPr>
        <w:t>és  feltételezéseket</w:t>
      </w:r>
      <w:proofErr w:type="gramEnd"/>
      <w:r w:rsidRPr="00AC5D57">
        <w:rPr>
          <w:rFonts w:ascii="Times New Roman" w:hAnsi="Times New Roman" w:cs="Times New Roman"/>
          <w:sz w:val="24"/>
          <w:szCs w:val="24"/>
        </w:rPr>
        <w:t>, amelyekkel a pénzügyi instrumentumok hitelezési kockázatának jelentős megnövekedésének tényét meghatározták. Az ezekben bekövetkező esetleges változásokat is közzé kell tennie a gazdálkodó egység menedzsmentjének.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hitelezési kockázat szignifikáns megnövekedésének vizsgálata során – a várható hitelezési veszteségek értékeléséhez hasonlóan – a gazdálkodó egység használhat eltérő megközelítéseket az egyes pénzügyi instrumentumaira. Azonban azoknál a megközelítéseknél, amelyeknél a fizetési teljesítés elmaradásának valószínűsége nem explicit input, a gazdálkodó egységnek el kell tudnia különíteni a fizetési </w:t>
      </w:r>
      <w:proofErr w:type="spellStart"/>
      <w:r w:rsidRPr="00AC5D57">
        <w:rPr>
          <w:rFonts w:ascii="Times New Roman" w:hAnsi="Times New Roman" w:cs="Times New Roman"/>
          <w:sz w:val="24"/>
          <w:szCs w:val="24"/>
        </w:rPr>
        <w:t>nemteljesítés</w:t>
      </w:r>
      <w:proofErr w:type="spellEnd"/>
      <w:r w:rsidRPr="00AC5D57">
        <w:rPr>
          <w:rFonts w:ascii="Times New Roman" w:hAnsi="Times New Roman" w:cs="Times New Roman"/>
          <w:sz w:val="24"/>
          <w:szCs w:val="24"/>
        </w:rPr>
        <w:t xml:space="preserve"> kockázatában bekövetkező változásokat a várható hitelezési veszteségek egyéb tényezőiben keletkező változásoktól, és figyelembe kell vennie a következőket az értékelésnél:</w:t>
      </w:r>
    </w:p>
    <w:p w:rsidR="00FF0C9A" w:rsidRPr="00AC5D57" w:rsidRDefault="00FF0C9A" w:rsidP="00174EBB">
      <w:pPr>
        <w:pStyle w:val="Listaszerbekezds"/>
        <w:numPr>
          <w:ilvl w:val="0"/>
          <w:numId w:val="3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fizetési </w:t>
      </w:r>
      <w:proofErr w:type="spellStart"/>
      <w:r w:rsidRPr="00AC5D57">
        <w:rPr>
          <w:rFonts w:ascii="Times New Roman" w:hAnsi="Times New Roman" w:cs="Times New Roman"/>
          <w:sz w:val="24"/>
          <w:szCs w:val="24"/>
        </w:rPr>
        <w:t>nemteljesítés</w:t>
      </w:r>
      <w:proofErr w:type="spellEnd"/>
      <w:r w:rsidRPr="00AC5D57">
        <w:rPr>
          <w:rFonts w:ascii="Times New Roman" w:hAnsi="Times New Roman" w:cs="Times New Roman"/>
          <w:sz w:val="24"/>
          <w:szCs w:val="24"/>
        </w:rPr>
        <w:t xml:space="preserve"> kockázatában történt változást a bekerülés óta</w:t>
      </w:r>
    </w:p>
    <w:p w:rsidR="00FF0C9A" w:rsidRPr="00AC5D57" w:rsidRDefault="00FF0C9A" w:rsidP="00174EBB">
      <w:pPr>
        <w:pStyle w:val="Listaszerbekezds"/>
        <w:numPr>
          <w:ilvl w:val="0"/>
          <w:numId w:val="3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várható élettartamát a pénzügyi instrumentumnak</w:t>
      </w:r>
    </w:p>
    <w:p w:rsidR="00FF0C9A" w:rsidRPr="00AC5D57" w:rsidRDefault="00FF0C9A" w:rsidP="00174EBB">
      <w:pPr>
        <w:pStyle w:val="Listaszerbekezds"/>
        <w:numPr>
          <w:ilvl w:val="0"/>
          <w:numId w:val="35"/>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azokat az ésszerű és alátámasztható információkat, amelyek elérhetőek túlzott költségek és erőfeszítés nélkül is.</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szignifikáns növekedés a standard szerint általában még az előtt jelentkezik a hitelezési kockázatban, hogy az eszköz értékvesztetté válna</w:t>
      </w:r>
      <w:r w:rsidRPr="00AC5D57">
        <w:rPr>
          <w:rStyle w:val="Lbjegyzet-hivatkozs"/>
          <w:rFonts w:ascii="Times New Roman" w:hAnsi="Times New Roman" w:cs="Times New Roman"/>
          <w:sz w:val="24"/>
          <w:szCs w:val="24"/>
        </w:rPr>
        <w:footnoteReference w:id="13"/>
      </w:r>
      <w:r w:rsidRPr="00AC5D57">
        <w:rPr>
          <w:rFonts w:ascii="Times New Roman" w:hAnsi="Times New Roman" w:cs="Times New Roman"/>
          <w:sz w:val="24"/>
          <w:szCs w:val="24"/>
        </w:rPr>
        <w:t xml:space="preserve"> vagy a tényleges fizetésképtelenség bekövetkezne.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Sokszor szóba került már a </w:t>
      </w:r>
      <w:r w:rsidRPr="00AC5D57">
        <w:rPr>
          <w:rFonts w:ascii="Times New Roman" w:hAnsi="Times New Roman" w:cs="Times New Roman"/>
          <w:b/>
          <w:sz w:val="24"/>
          <w:szCs w:val="24"/>
        </w:rPr>
        <w:t>szignifikáns/jelentős növekedés</w:t>
      </w:r>
      <w:r w:rsidRPr="00AC5D57">
        <w:rPr>
          <w:rFonts w:ascii="Times New Roman" w:hAnsi="Times New Roman" w:cs="Times New Roman"/>
          <w:sz w:val="24"/>
          <w:szCs w:val="24"/>
        </w:rPr>
        <w:t xml:space="preserve"> a hitelezési kockázatot illetően, de az még egyszer sem, hogy mit is jelent ez pontosan az IFRS 9 alapján: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standardban </w:t>
      </w:r>
      <w:r w:rsidRPr="008D7901">
        <w:rPr>
          <w:rFonts w:ascii="Times New Roman" w:hAnsi="Times New Roman" w:cs="Times New Roman"/>
          <w:b/>
          <w:sz w:val="24"/>
          <w:szCs w:val="24"/>
        </w:rPr>
        <w:t>nincs definiálva</w:t>
      </w:r>
      <w:r w:rsidRPr="00AC5D57">
        <w:rPr>
          <w:rFonts w:ascii="Times New Roman" w:hAnsi="Times New Roman" w:cs="Times New Roman"/>
          <w:sz w:val="24"/>
          <w:szCs w:val="24"/>
        </w:rPr>
        <w:t xml:space="preserve"> ez a kifejezés, a gazdálkodó egységeknek saját maguknak kell meghatároznia, hogy mit tartanak szignifikánsnak a pénzügyi instrumentumaik hitelezési kockázata kapcsán, a következő okokból kifolyólag:</w:t>
      </w:r>
    </w:p>
    <w:p w:rsidR="00FF0C9A" w:rsidRPr="00AC5D57" w:rsidRDefault="00FF0C9A" w:rsidP="00174EBB">
      <w:pPr>
        <w:pStyle w:val="Listaszerbekezds"/>
        <w:numPr>
          <w:ilvl w:val="0"/>
          <w:numId w:val="3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Egy fix százalékos érték előírása a fizetési teljesítés elmaradásának valószínűségének változására megkövetelné, hogy az összes gazdálkodó egység ilyenfajta megközelítést használjon. Lévén, hogy – a szabályozott pénzügyi intézményektől eltekintve – nem mindegyik gazdálkodó egység használja explicit inputként az esetleges nemfizetés valószínűségét, ez megnövelné a költségeit és erőfeszítését azon gazdálkodó egységeknek, amelyek eltérő megközelítést alkalmaznak.</w:t>
      </w:r>
    </w:p>
    <w:p w:rsidR="00FF0C9A" w:rsidRPr="00AC5D57" w:rsidRDefault="00FF0C9A" w:rsidP="00174EBB">
      <w:pPr>
        <w:pStyle w:val="Listaszerbekezds"/>
        <w:numPr>
          <w:ilvl w:val="0"/>
          <w:numId w:val="33"/>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Definiálni a változás mértékét a fizetési </w:t>
      </w:r>
      <w:proofErr w:type="spellStart"/>
      <w:r w:rsidRPr="00AC5D57">
        <w:rPr>
          <w:rFonts w:ascii="Times New Roman" w:hAnsi="Times New Roman" w:cs="Times New Roman"/>
          <w:sz w:val="24"/>
          <w:szCs w:val="24"/>
        </w:rPr>
        <w:t>nemteljesítés</w:t>
      </w:r>
      <w:proofErr w:type="spellEnd"/>
      <w:r w:rsidRPr="00AC5D57">
        <w:rPr>
          <w:rFonts w:ascii="Times New Roman" w:hAnsi="Times New Roman" w:cs="Times New Roman"/>
          <w:sz w:val="24"/>
          <w:szCs w:val="24"/>
        </w:rPr>
        <w:t xml:space="preserve"> kockázatában önkényes volna, és ez amúgy is a termékek típusától, a lejárati időktől és a kezdeti hitelezési kockázattól függ alapvetően.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IFRS 9 standard azonban kiemeli, hogy annak meghatározása, hogy szignifikáns változás történt-e a fizetésképtelenség felmerülésének kockázatában a következő tényezőkön múlik elsősorban:</w:t>
      </w:r>
    </w:p>
    <w:p w:rsidR="00FF0C9A" w:rsidRPr="00AC5D57" w:rsidRDefault="00FF0C9A" w:rsidP="00174EBB">
      <w:pPr>
        <w:pStyle w:val="Listaszerbekezds"/>
        <w:numPr>
          <w:ilvl w:val="0"/>
          <w:numId w:val="3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kezdeti hitelezési kockázaton: ugyanakkora (abszolút mértékű) változás a fizetési </w:t>
      </w:r>
      <w:proofErr w:type="spellStart"/>
      <w:r w:rsidRPr="00AC5D57">
        <w:rPr>
          <w:rFonts w:ascii="Times New Roman" w:hAnsi="Times New Roman" w:cs="Times New Roman"/>
          <w:sz w:val="24"/>
          <w:szCs w:val="24"/>
        </w:rPr>
        <w:t>nemteljesítés</w:t>
      </w:r>
      <w:proofErr w:type="spellEnd"/>
      <w:r w:rsidRPr="00AC5D57">
        <w:rPr>
          <w:rFonts w:ascii="Times New Roman" w:hAnsi="Times New Roman" w:cs="Times New Roman"/>
          <w:sz w:val="24"/>
          <w:szCs w:val="24"/>
        </w:rPr>
        <w:t xml:space="preserve"> valószínűségében szignifikánsabb lesz egy kisebb kezdeti hitelezési kockázatú pénzügyi instrumentum esetében, mint egy nagyobbal rendelkezőnél</w:t>
      </w:r>
    </w:p>
    <w:p w:rsidR="00FF0C9A" w:rsidRPr="00AC5D57" w:rsidRDefault="00FF0C9A" w:rsidP="00174EBB">
      <w:pPr>
        <w:pStyle w:val="Listaszerbekezds"/>
        <w:numPr>
          <w:ilvl w:val="0"/>
          <w:numId w:val="34"/>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várható élettartam szerkezetén: a nemfizetés kockázata (hasonló hitelezési kockázatú pénzügyi instrumentumok esetében) nő a pénzügyi instrumentumok várható élettartamának hosszával. Egy gazdálkodó egység nem hasonlíthatja össze csak úgy egyszerűen a fizetésképtelenség bekövetkezésének abszolút kockázatát két különböző időpontban, ugyanis az a természeténél fogva az idő múlásával rendszerint csökken (, amennyiben a hitelezési kockázat változatlan). Például ha egy tíz éves várható élettartamú pénzügyi instrumentumnál a fizetési teljesítés elmaradásának kockázata megegyezik a bekerüléskor és öt év eltelte után (azaz nem csökkent), akkor a hitelezési kockázata a pénzügyi instrumentumnak megnövekedett. Viszont az olyan pénzügyi instrumentumok esetében, amelyek jelentősebb fizetési kötelezettségekkel rendelkeznek lejáratuk vége felé, az idő múlása nem csökkenti szükségszerűen a nemfizetés felmerülésének kockázatát.</w:t>
      </w:r>
    </w:p>
    <w:p w:rsidR="00FF0C9A" w:rsidRPr="008D7901"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8D7901">
        <w:rPr>
          <w:rFonts w:ascii="Times New Roman" w:hAnsi="Times New Roman" w:cs="Times New Roman"/>
          <w:b/>
          <w:sz w:val="24"/>
          <w:szCs w:val="24"/>
        </w:rPr>
        <w:t xml:space="preserve">Vizsgálat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hitelezési kockázat szignifikáns megnövekedésének vizsgálata során:</w:t>
      </w:r>
    </w:p>
    <w:p w:rsidR="00FF0C9A" w:rsidRPr="00AC5D57" w:rsidRDefault="00FF0C9A" w:rsidP="00174EBB">
      <w:pPr>
        <w:pStyle w:val="Listaszerbekezds"/>
        <w:numPr>
          <w:ilvl w:val="0"/>
          <w:numId w:val="53"/>
        </w:numPr>
        <w:autoSpaceDE w:val="0"/>
        <w:autoSpaceDN w:val="0"/>
        <w:adjustRightInd w:val="0"/>
        <w:spacing w:after="120" w:line="360" w:lineRule="auto"/>
        <w:ind w:left="924" w:hanging="357"/>
        <w:contextualSpacing w:val="0"/>
        <w:jc w:val="both"/>
        <w:rPr>
          <w:rFonts w:ascii="Times New Roman" w:hAnsi="Times New Roman" w:cs="Times New Roman"/>
          <w:b/>
          <w:sz w:val="24"/>
          <w:szCs w:val="24"/>
        </w:rPr>
      </w:pPr>
      <w:r w:rsidRPr="00AC5D57">
        <w:rPr>
          <w:rFonts w:ascii="Times New Roman" w:hAnsi="Times New Roman" w:cs="Times New Roman"/>
          <w:b/>
          <w:sz w:val="24"/>
          <w:szCs w:val="24"/>
        </w:rPr>
        <w:t xml:space="preserve">össze kell hasonlítani a kezdeti és a fordulónapi fizetési </w:t>
      </w:r>
      <w:proofErr w:type="spellStart"/>
      <w:r w:rsidRPr="00AC5D57">
        <w:rPr>
          <w:rFonts w:ascii="Times New Roman" w:hAnsi="Times New Roman" w:cs="Times New Roman"/>
          <w:b/>
          <w:sz w:val="24"/>
          <w:szCs w:val="24"/>
        </w:rPr>
        <w:t>nemteljesítés</w:t>
      </w:r>
      <w:proofErr w:type="spellEnd"/>
      <w:r w:rsidRPr="00AC5D57">
        <w:rPr>
          <w:rFonts w:ascii="Times New Roman" w:hAnsi="Times New Roman" w:cs="Times New Roman"/>
          <w:b/>
          <w:sz w:val="24"/>
          <w:szCs w:val="24"/>
        </w:rPr>
        <w:t xml:space="preserve"> kockázatát</w:t>
      </w:r>
    </w:p>
    <w:p w:rsidR="00FF0C9A" w:rsidRPr="00AC5D57" w:rsidRDefault="00FF0C9A" w:rsidP="00174EBB">
      <w:pPr>
        <w:pStyle w:val="Listaszerbekezds"/>
        <w:numPr>
          <w:ilvl w:val="0"/>
          <w:numId w:val="5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figyelembe kell venni azokat az ésszerű és alátámasztható információkat, amelyek elérhetőek túlzott költségek és erőfeszítés nélkül</w:t>
      </w:r>
    </w:p>
    <w:p w:rsidR="00FF0C9A" w:rsidRPr="00AC5D57" w:rsidRDefault="00FF0C9A" w:rsidP="00174EBB">
      <w:pPr>
        <w:pStyle w:val="Listaszerbekezds"/>
        <w:numPr>
          <w:ilvl w:val="0"/>
          <w:numId w:val="5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nemfizetés kockázatának változását kell inkább alapul venni, mint a várható hitelezési veszteségek mennyiségében bekövetkező változást</w:t>
      </w:r>
    </w:p>
    <w:p w:rsidR="00FF0C9A" w:rsidRPr="00AC5D57" w:rsidRDefault="00FF0C9A" w:rsidP="00174EBB">
      <w:pPr>
        <w:pStyle w:val="Listaszerbekezds"/>
        <w:numPr>
          <w:ilvl w:val="0"/>
          <w:numId w:val="5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nem szükséges állandóan statisztikai módszerekkel alátámasztani a kapott eredményeket, az hatékony lehet kvalitatív és nem statisztikai kvantitatív információk felhasználásával is</w:t>
      </w:r>
    </w:p>
    <w:p w:rsidR="00FF0C9A" w:rsidRPr="00AC5D57" w:rsidRDefault="00FF0C9A" w:rsidP="00174EBB">
      <w:pPr>
        <w:pStyle w:val="Listaszerbekezds"/>
        <w:numPr>
          <w:ilvl w:val="0"/>
          <w:numId w:val="5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piaci árak fontos információforrások lehetnek, azonban nem szabad csak rájuk hagyatkozni, ugyanis a piaci árakat hitelezési kockázattól mentes tényezők is befolyásolják, mint például a kamatlábak vagy a likviditási kockázatok változásai</w:t>
      </w:r>
    </w:p>
    <w:p w:rsidR="00FF0C9A" w:rsidRPr="00AC5D57" w:rsidRDefault="00FF0C9A" w:rsidP="00174EBB">
      <w:pPr>
        <w:pStyle w:val="Listaszerbekezds"/>
        <w:numPr>
          <w:ilvl w:val="0"/>
          <w:numId w:val="53"/>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hitelezési kockázat változását nem lehet egyszerűen a nemfizetés abszolút kockázatának időbeli alakulásából megállapítani, mert a fizetési </w:t>
      </w:r>
      <w:proofErr w:type="spellStart"/>
      <w:r w:rsidRPr="00AC5D57">
        <w:rPr>
          <w:rFonts w:ascii="Times New Roman" w:hAnsi="Times New Roman" w:cs="Times New Roman"/>
          <w:sz w:val="24"/>
          <w:szCs w:val="24"/>
        </w:rPr>
        <w:t>nemteljesítés</w:t>
      </w:r>
      <w:proofErr w:type="spellEnd"/>
      <w:r w:rsidRPr="00AC5D57">
        <w:rPr>
          <w:rFonts w:ascii="Times New Roman" w:hAnsi="Times New Roman" w:cs="Times New Roman"/>
          <w:sz w:val="24"/>
          <w:szCs w:val="24"/>
        </w:rPr>
        <w:t xml:space="preserve"> kockázata rendszeresen csökken az idő múlásával a hitelezési kockázattól függetlenül.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Ha a kifizetések (és így azok esetleges elmulasztása sem) nem koncentrálódnak a pénzügyi instrumentum életében egy bizonyos pont körül, akkor a pénzügyi instrumentum teljes hátralévő élettartamára vonatkozó nemfizetés kockázatának változását gyakran jól meg lehet közelíteni a következő 12 hónapra vonatkozó nemfizetés kockázatának változásával. Az IFRS 9 standard megengedi, hogy a hitelezési kockázat szignifikáns megnövekedését </w:t>
      </w:r>
      <w:proofErr w:type="gramStart"/>
      <w:r w:rsidRPr="00AC5D57">
        <w:rPr>
          <w:rFonts w:ascii="Times New Roman" w:hAnsi="Times New Roman" w:cs="Times New Roman"/>
          <w:sz w:val="24"/>
          <w:szCs w:val="24"/>
        </w:rPr>
        <w:t>ezen</w:t>
      </w:r>
      <w:proofErr w:type="gramEnd"/>
      <w:r w:rsidRPr="00AC5D57">
        <w:rPr>
          <w:rFonts w:ascii="Times New Roman" w:hAnsi="Times New Roman" w:cs="Times New Roman"/>
          <w:sz w:val="24"/>
          <w:szCs w:val="24"/>
        </w:rPr>
        <w:t xml:space="preserve"> körülmények esetén a 12 havi kockázatváltozás alapján állapítsa meg a gazdálkodó egység. Azonban megjegyzi, hogy vannak olyan pénzügyi instrumentumok, amelyek esetében még ekkor sem lenne szerencsés a 12 havi megközelítést alkalmazni, például: ha csak a 12 hónap után vannak jelentős fizetési kötelezettségei a pénzügyi instrumentumnak.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hitelezési kockázat szignifikáns megnövekedésének vizsgálatát magasabb szinten is lehet végezni, de csak akkor, ha így ugyanarra az eredményre jutunk, mint ha a pénzügyi instrumentumokat egyedileg értékelnénk.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IFRS 9 standard előírja, hogy ha a gazdálkodó egységnek nincs – túlzott költségek és erőfeszítés nélkül is elérhető – megfelelő információja a teljes élettartam alatti várható veszteségek értékeléséhez a pénzügyi instrumentumok egyedi szintjén, akkor ezeket a veszteségeket </w:t>
      </w:r>
      <w:r w:rsidRPr="00AC5D57">
        <w:rPr>
          <w:rFonts w:ascii="Times New Roman" w:hAnsi="Times New Roman" w:cs="Times New Roman"/>
          <w:b/>
          <w:sz w:val="24"/>
          <w:szCs w:val="24"/>
        </w:rPr>
        <w:t>kollektív szinten</w:t>
      </w:r>
      <w:r w:rsidRPr="00AC5D57">
        <w:rPr>
          <w:rFonts w:ascii="Times New Roman" w:hAnsi="Times New Roman" w:cs="Times New Roman"/>
          <w:sz w:val="24"/>
          <w:szCs w:val="24"/>
        </w:rPr>
        <w:t xml:space="preserve"> (csoportosan) </w:t>
      </w:r>
      <w:r w:rsidRPr="00AC5D57">
        <w:rPr>
          <w:rFonts w:ascii="Times New Roman" w:hAnsi="Times New Roman" w:cs="Times New Roman"/>
          <w:b/>
          <w:sz w:val="24"/>
          <w:szCs w:val="24"/>
        </w:rPr>
        <w:t>kell értékelnie</w:t>
      </w:r>
      <w:r w:rsidRPr="00AC5D57">
        <w:rPr>
          <w:rFonts w:ascii="Times New Roman" w:hAnsi="Times New Roman" w:cs="Times New Roman"/>
          <w:sz w:val="24"/>
          <w:szCs w:val="24"/>
        </w:rPr>
        <w:t>. Ezen feladat elvégzése szélesebb körű információkat igényel: fizetési határidős információkat, hitelezési információkat, makrogazdasági információkat, stb.</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hitelezési kockázatban történt szignifikáns növekedés meghatározása kapcsán csak olyan pénzügyi instrumentumok értékelhetőek kollektíven (együttesen), amelyek </w:t>
      </w:r>
      <w:r w:rsidRPr="00DF47EE">
        <w:rPr>
          <w:rFonts w:ascii="Times New Roman" w:hAnsi="Times New Roman" w:cs="Times New Roman"/>
          <w:b/>
          <w:sz w:val="24"/>
          <w:szCs w:val="24"/>
        </w:rPr>
        <w:t>ugyanolyan hitelezési kockázati karakterisztikájúak</w:t>
      </w:r>
      <w:r w:rsidRPr="00AC5D57">
        <w:rPr>
          <w:rFonts w:ascii="Times New Roman" w:hAnsi="Times New Roman" w:cs="Times New Roman"/>
          <w:sz w:val="24"/>
          <w:szCs w:val="24"/>
        </w:rPr>
        <w:t>. Nem lehet különböző kockázati jellemzővel rendelkező kitettségeket összevonni. Ugyanolyan hitelezési kockázati jellemvonás lehet többek között a standard példái alapján:</w:t>
      </w:r>
    </w:p>
    <w:p w:rsidR="00FF0C9A" w:rsidRPr="00AC5D57" w:rsidRDefault="00FF0C9A" w:rsidP="00174EBB">
      <w:pPr>
        <w:pStyle w:val="Listaszerbekezds"/>
        <w:numPr>
          <w:ilvl w:val="0"/>
          <w:numId w:val="3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instrumentum típusa</w:t>
      </w:r>
    </w:p>
    <w:p w:rsidR="00FF0C9A" w:rsidRPr="00AC5D57" w:rsidRDefault="00FF0C9A" w:rsidP="00174EBB">
      <w:pPr>
        <w:pStyle w:val="Listaszerbekezds"/>
        <w:numPr>
          <w:ilvl w:val="0"/>
          <w:numId w:val="3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hitelezési kockázat minősítése</w:t>
      </w:r>
    </w:p>
    <w:p w:rsidR="00FF0C9A" w:rsidRPr="00AC5D57" w:rsidRDefault="00FF0C9A" w:rsidP="00174EBB">
      <w:pPr>
        <w:pStyle w:val="Listaszerbekezds"/>
        <w:numPr>
          <w:ilvl w:val="0"/>
          <w:numId w:val="3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szerződést biztosító egyéb kötelezettségvállalás típusa</w:t>
      </w:r>
    </w:p>
    <w:p w:rsidR="00FF0C9A" w:rsidRPr="00AC5D57" w:rsidRDefault="00FF0C9A" w:rsidP="00174EBB">
      <w:pPr>
        <w:pStyle w:val="Listaszerbekezds"/>
        <w:numPr>
          <w:ilvl w:val="0"/>
          <w:numId w:val="3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kezdeti megjelenítés dátuma</w:t>
      </w:r>
    </w:p>
    <w:p w:rsidR="00FF0C9A" w:rsidRPr="00AC5D57" w:rsidRDefault="00FF0C9A" w:rsidP="00174EBB">
      <w:pPr>
        <w:pStyle w:val="Listaszerbekezds"/>
        <w:numPr>
          <w:ilvl w:val="0"/>
          <w:numId w:val="3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lejáratig hátralévő időszak</w:t>
      </w:r>
    </w:p>
    <w:p w:rsidR="00FF0C9A" w:rsidRPr="00AC5D57" w:rsidRDefault="00FF0C9A" w:rsidP="00174EBB">
      <w:pPr>
        <w:pStyle w:val="Listaszerbekezds"/>
        <w:numPr>
          <w:ilvl w:val="0"/>
          <w:numId w:val="38"/>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ipar</w:t>
      </w:r>
    </w:p>
    <w:p w:rsidR="00FF0C9A" w:rsidRPr="00AC5D57" w:rsidRDefault="00FF0C9A" w:rsidP="00174EBB">
      <w:pPr>
        <w:pStyle w:val="Listaszerbekezds"/>
        <w:numPr>
          <w:ilvl w:val="0"/>
          <w:numId w:val="38"/>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földrajzi elhelyezkedése a kölcsönvevőnek.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Ha a gazdálkodó egység nem képes ilyen jellemvonás alapján pénzügyi instrumentumait csoportosítani, akkor a teljes élettartam alatti várható veszteségeket a pénzügyi eszközök egy olyan részén kell megjelenítenie, amelyre a hitelezési kockázat vélhetően szignifikánsan megnövekedett.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IFRS 9 két esetben enged </w:t>
      </w:r>
      <w:r w:rsidRPr="00AC5D57">
        <w:rPr>
          <w:rFonts w:ascii="Times New Roman" w:hAnsi="Times New Roman" w:cs="Times New Roman"/>
          <w:b/>
          <w:sz w:val="24"/>
          <w:szCs w:val="24"/>
        </w:rPr>
        <w:t>egyszerűsítést</w:t>
      </w:r>
      <w:r w:rsidRPr="00AC5D57">
        <w:rPr>
          <w:rFonts w:ascii="Times New Roman" w:hAnsi="Times New Roman" w:cs="Times New Roman"/>
          <w:sz w:val="24"/>
          <w:szCs w:val="24"/>
        </w:rPr>
        <w:t xml:space="preserve"> a hitelezési kockázat vizsgálatánál:</w:t>
      </w:r>
    </w:p>
    <w:p w:rsidR="00FF0C9A" w:rsidRPr="00AC5D57" w:rsidRDefault="00FF0C9A" w:rsidP="00174EBB">
      <w:pPr>
        <w:pStyle w:val="Listaszerbekezds"/>
        <w:numPr>
          <w:ilvl w:val="0"/>
          <w:numId w:val="54"/>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fordulónapon </w:t>
      </w:r>
      <w:r w:rsidRPr="008D7901">
        <w:rPr>
          <w:rFonts w:ascii="Times New Roman" w:hAnsi="Times New Roman" w:cs="Times New Roman"/>
          <w:b/>
          <w:sz w:val="24"/>
          <w:szCs w:val="24"/>
        </w:rPr>
        <w:t>alacsony hitelezési kockázatú</w:t>
      </w:r>
      <w:r w:rsidRPr="00AC5D57">
        <w:rPr>
          <w:rFonts w:ascii="Times New Roman" w:hAnsi="Times New Roman" w:cs="Times New Roman"/>
          <w:sz w:val="24"/>
          <w:szCs w:val="24"/>
        </w:rPr>
        <w:t xml:space="preserve"> pénzügyi eszközök esetében</w:t>
      </w:r>
    </w:p>
    <w:p w:rsidR="00FF0C9A" w:rsidRPr="00AC5D57" w:rsidRDefault="00FF0C9A" w:rsidP="00174EBB">
      <w:pPr>
        <w:pStyle w:val="Listaszerbekezds"/>
        <w:numPr>
          <w:ilvl w:val="0"/>
          <w:numId w:val="54"/>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akkor, ha </w:t>
      </w:r>
      <w:r w:rsidRPr="008D7901">
        <w:rPr>
          <w:rFonts w:ascii="Times New Roman" w:hAnsi="Times New Roman" w:cs="Times New Roman"/>
          <w:b/>
          <w:sz w:val="24"/>
          <w:szCs w:val="24"/>
        </w:rPr>
        <w:t>több mint 30 napja lejárt</w:t>
      </w:r>
      <w:r w:rsidRPr="00AC5D57">
        <w:rPr>
          <w:rFonts w:ascii="Times New Roman" w:hAnsi="Times New Roman" w:cs="Times New Roman"/>
          <w:sz w:val="24"/>
          <w:szCs w:val="24"/>
        </w:rPr>
        <w:t xml:space="preserve"> a szerződéses cash flow-k fizetési </w:t>
      </w:r>
      <w:r w:rsidRPr="008D7901">
        <w:rPr>
          <w:rFonts w:ascii="Times New Roman" w:hAnsi="Times New Roman" w:cs="Times New Roman"/>
          <w:b/>
          <w:sz w:val="24"/>
          <w:szCs w:val="24"/>
        </w:rPr>
        <w:t>határideje</w:t>
      </w:r>
      <w:r w:rsidRPr="00AC5D57">
        <w:rPr>
          <w:rFonts w:ascii="Times New Roman" w:hAnsi="Times New Roman" w:cs="Times New Roman"/>
          <w:sz w:val="24"/>
          <w:szCs w:val="24"/>
        </w:rPr>
        <w: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xml:space="preserve">) A gazdálkodó egység </w:t>
      </w:r>
      <w:r w:rsidRPr="008D7901">
        <w:rPr>
          <w:rFonts w:ascii="Times New Roman" w:hAnsi="Times New Roman" w:cs="Times New Roman"/>
          <w:b/>
          <w:sz w:val="24"/>
          <w:szCs w:val="24"/>
        </w:rPr>
        <w:t>élhet</w:t>
      </w:r>
      <w:r w:rsidRPr="00AC5D57">
        <w:rPr>
          <w:rFonts w:ascii="Times New Roman" w:hAnsi="Times New Roman" w:cs="Times New Roman"/>
          <w:sz w:val="24"/>
          <w:szCs w:val="24"/>
        </w:rPr>
        <w:t xml:space="preserve"> azzal a feltételezéssel, hogy nem történt szignifikáns változás (növekedés) ezen eszközök hitelezési kockázatában. Ez az egyszerűsítés opcionális, és eszközönként egyesével lehet csak alkalmazni. Az alacsony hitelezési kockázatú pénzügyi instrumentumoknál a 12 havi várható hitelezési veszteségekkel kell természetesen számolni.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standard alapján csak a következő feltételek teljesülése esetén minősíthető egy pénzügyi eszköz alacsony hitelezési kockázatúnak:</w:t>
      </w:r>
    </w:p>
    <w:p w:rsidR="00FF0C9A" w:rsidRPr="00AC5D57" w:rsidRDefault="00FF0C9A" w:rsidP="00174EBB">
      <w:pPr>
        <w:pStyle w:val="Listaszerbekezds"/>
        <w:numPr>
          <w:ilvl w:val="0"/>
          <w:numId w:val="3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alacsony a fizetési </w:t>
      </w:r>
      <w:proofErr w:type="spellStart"/>
      <w:r w:rsidRPr="00AC5D57">
        <w:rPr>
          <w:rFonts w:ascii="Times New Roman" w:hAnsi="Times New Roman" w:cs="Times New Roman"/>
          <w:sz w:val="24"/>
          <w:szCs w:val="24"/>
        </w:rPr>
        <w:t>nemteljesítés</w:t>
      </w:r>
      <w:proofErr w:type="spellEnd"/>
      <w:r w:rsidRPr="00AC5D57">
        <w:rPr>
          <w:rFonts w:ascii="Times New Roman" w:hAnsi="Times New Roman" w:cs="Times New Roman"/>
          <w:sz w:val="24"/>
          <w:szCs w:val="24"/>
        </w:rPr>
        <w:t xml:space="preserve"> kockázata</w:t>
      </w:r>
    </w:p>
    <w:p w:rsidR="00FF0C9A" w:rsidRPr="00AC5D57" w:rsidRDefault="00FF0C9A" w:rsidP="00174EBB">
      <w:pPr>
        <w:pStyle w:val="Listaszerbekezds"/>
        <w:numPr>
          <w:ilvl w:val="0"/>
          <w:numId w:val="3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adós rendelkezik elég kapacitással, hogy eleget tegyen a szerződéses cash flow kötelezettségeinek a közeljövőben</w:t>
      </w:r>
    </w:p>
    <w:p w:rsidR="00FF0C9A" w:rsidRPr="00AC5D57" w:rsidRDefault="00FF0C9A" w:rsidP="00174EBB">
      <w:pPr>
        <w:pStyle w:val="Listaszerbekezds"/>
        <w:numPr>
          <w:ilvl w:val="0"/>
          <w:numId w:val="37"/>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kedvezőtlen változások a gazdasági és üzleti feltételekben hosszabb távon csökkenthetik az adós fizetőképességét, de nem feltétlen fogják.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b) Ekkor az IFRS 9 </w:t>
      </w:r>
      <w:r w:rsidRPr="008D7901">
        <w:rPr>
          <w:rFonts w:ascii="Times New Roman" w:hAnsi="Times New Roman" w:cs="Times New Roman"/>
          <w:b/>
          <w:sz w:val="24"/>
          <w:szCs w:val="24"/>
        </w:rPr>
        <w:t>feltételezi</w:t>
      </w:r>
      <w:r w:rsidRPr="00AC5D57">
        <w:rPr>
          <w:rFonts w:ascii="Times New Roman" w:hAnsi="Times New Roman" w:cs="Times New Roman"/>
          <w:sz w:val="24"/>
          <w:szCs w:val="24"/>
        </w:rPr>
        <w:t xml:space="preserve"> (minden bizonyítás nélkül), hogy az adott pénzügyi eszköz hitelezési kockázatában szignifikáns növekedés történt (a kezdeti megjelenítés óta). Azonban a gazdálkodó egység nem hagyatkozhat kizárólag erre az egyszerűsítésre, ha a rendelkezésére állnak olyan – túlzott költségek és erőfeszítés nélkül is elérhető – előremutató releváns </w:t>
      </w:r>
      <w:proofErr w:type="gramStart"/>
      <w:r w:rsidRPr="00AC5D57">
        <w:rPr>
          <w:rFonts w:ascii="Times New Roman" w:hAnsi="Times New Roman" w:cs="Times New Roman"/>
          <w:sz w:val="24"/>
          <w:szCs w:val="24"/>
        </w:rPr>
        <w:t>információk</w:t>
      </w:r>
      <w:r w:rsidRPr="00AC5D57">
        <w:rPr>
          <w:rStyle w:val="Lbjegyzet-hivatkozs"/>
          <w:rFonts w:ascii="Times New Roman" w:hAnsi="Times New Roman" w:cs="Times New Roman"/>
          <w:sz w:val="24"/>
          <w:szCs w:val="24"/>
        </w:rPr>
        <w:footnoteReference w:id="14"/>
      </w:r>
      <w:r w:rsidRPr="00AC5D57">
        <w:rPr>
          <w:rFonts w:ascii="Times New Roman" w:hAnsi="Times New Roman" w:cs="Times New Roman"/>
          <w:sz w:val="24"/>
          <w:szCs w:val="24"/>
        </w:rPr>
        <w:t>,</w:t>
      </w:r>
      <w:proofErr w:type="gramEnd"/>
      <w:r w:rsidRPr="00AC5D57">
        <w:rPr>
          <w:rFonts w:ascii="Times New Roman" w:hAnsi="Times New Roman" w:cs="Times New Roman"/>
          <w:sz w:val="24"/>
          <w:szCs w:val="24"/>
        </w:rPr>
        <w:t xml:space="preserve"> amelyek befolyásolhatják a szignifikáns növekedés tényét a hitelezési kockázatban. Az ilyen információknak is köszönhetően a standard engedélyezi az előbbi feltételezés visszavonását, megcáfolását.</w:t>
      </w: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Az egyéb átfogó eredménnyel szemben valós értéken értékelt pénzügyi eszközök értékvesztése</w:t>
      </w:r>
      <w:r w:rsidRPr="00AC5D57">
        <w:rPr>
          <w:rStyle w:val="Lbjegyzet-hivatkozs"/>
          <w:rFonts w:ascii="Times New Roman" w:hAnsi="Times New Roman" w:cs="Times New Roman"/>
          <w:b/>
          <w:sz w:val="24"/>
          <w:szCs w:val="24"/>
        </w:rPr>
        <w:footnoteReference w:id="15"/>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FVTOCI módon értékelt hitelviszonyt megtestesítő pénzügyi eszközök esetében az amortizált és valós érték információk is relevánsak a „tartás és eladás” üzleti modell miatt. Így ezen eszközök értékelése valós értéken történik a pénzügyi kimutatásokban, de a következő – alapvetően amortizációs értékeléshez kapcsolódó – információk </w:t>
      </w:r>
      <w:r w:rsidRPr="00AC5D57">
        <w:rPr>
          <w:rFonts w:ascii="Times New Roman" w:hAnsi="Times New Roman" w:cs="Times New Roman"/>
          <w:b/>
          <w:sz w:val="24"/>
          <w:szCs w:val="24"/>
        </w:rPr>
        <w:t>bemutatásra kerülnek</w:t>
      </w:r>
      <w:r w:rsidRPr="00AC5D57">
        <w:rPr>
          <w:rFonts w:ascii="Times New Roman" w:hAnsi="Times New Roman" w:cs="Times New Roman"/>
          <w:sz w:val="24"/>
          <w:szCs w:val="24"/>
        </w:rPr>
        <w:t xml:space="preserve"> </w:t>
      </w:r>
      <w:r w:rsidRPr="00AC5D57">
        <w:rPr>
          <w:rFonts w:ascii="Times New Roman" w:hAnsi="Times New Roman" w:cs="Times New Roman"/>
          <w:b/>
          <w:sz w:val="24"/>
          <w:szCs w:val="24"/>
        </w:rPr>
        <w:t>az eredménnyel szemben</w:t>
      </w:r>
      <w:r w:rsidRPr="00AC5D57">
        <w:rPr>
          <w:rFonts w:ascii="Times New Roman" w:hAnsi="Times New Roman" w:cs="Times New Roman"/>
          <w:sz w:val="24"/>
          <w:szCs w:val="24"/>
        </w:rPr>
        <w:t>:</w:t>
      </w:r>
    </w:p>
    <w:p w:rsidR="00FF0C9A" w:rsidRPr="00AC5D57" w:rsidRDefault="00FF0C9A" w:rsidP="00174EBB">
      <w:pPr>
        <w:pStyle w:val="Listaszerbekezds"/>
        <w:numPr>
          <w:ilvl w:val="0"/>
          <w:numId w:val="49"/>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 – amortizációs értékelésnél használt – effektív kamatláb módszer segítségével kiszámolt kamatbevételek</w:t>
      </w:r>
    </w:p>
    <w:p w:rsidR="00FF0C9A" w:rsidRPr="00AC5D57" w:rsidRDefault="00FF0C9A" w:rsidP="00174EBB">
      <w:pPr>
        <w:pStyle w:val="Listaszerbekezds"/>
        <w:numPr>
          <w:ilvl w:val="0"/>
          <w:numId w:val="49"/>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külföldi devizaváltás miatti nyereségek/veszteségek </w:t>
      </w:r>
    </w:p>
    <w:p w:rsidR="00FF0C9A" w:rsidRPr="00AC5D57" w:rsidRDefault="00FF0C9A" w:rsidP="00174EBB">
      <w:pPr>
        <w:pStyle w:val="Listaszerbekezds"/>
        <w:numPr>
          <w:ilvl w:val="0"/>
          <w:numId w:val="49"/>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az amortizált bekerülési értéken értékelt eszközöknél alkalmazott módszertanhasználatából adódó </w:t>
      </w:r>
      <w:r w:rsidRPr="00AC5D57">
        <w:rPr>
          <w:rFonts w:ascii="Times New Roman" w:hAnsi="Times New Roman" w:cs="Times New Roman"/>
          <w:b/>
          <w:sz w:val="24"/>
          <w:szCs w:val="24"/>
        </w:rPr>
        <w:t xml:space="preserve">értékvesztési </w:t>
      </w:r>
      <w:proofErr w:type="gramStart"/>
      <w:r w:rsidRPr="00AC5D57">
        <w:rPr>
          <w:rFonts w:ascii="Times New Roman" w:hAnsi="Times New Roman" w:cs="Times New Roman"/>
          <w:b/>
          <w:sz w:val="24"/>
          <w:szCs w:val="24"/>
        </w:rPr>
        <w:t>veszteségek(</w:t>
      </w:r>
      <w:proofErr w:type="gramEnd"/>
      <w:r w:rsidRPr="00AC5D57">
        <w:rPr>
          <w:rFonts w:ascii="Times New Roman" w:hAnsi="Times New Roman" w:cs="Times New Roman"/>
          <w:b/>
          <w:sz w:val="24"/>
          <w:szCs w:val="24"/>
        </w:rPr>
        <w:t>/nyereségek)</w:t>
      </w:r>
      <w:r>
        <w:rPr>
          <w:rFonts w:ascii="Times New Roman" w:hAnsi="Times New Roman" w:cs="Times New Roman"/>
          <w:sz w:val="24"/>
          <w:szCs w:val="24"/>
        </w:rPr>
        <w: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Alapesetben ezeknél az eszközöknél a valós érték változásait az egyéb átfogó eredménnyel szemben kellene elszámolni, de pont az előbb felsorolt – eredménnyel szemben bemutatott – nyereségek/veszteségek miatt, csak a teljes valós értékváltozás és az eredménnyel szemben elszámolt értékek </w:t>
      </w:r>
      <w:r w:rsidRPr="00AC5D57">
        <w:rPr>
          <w:rFonts w:ascii="Times New Roman" w:hAnsi="Times New Roman" w:cs="Times New Roman"/>
          <w:b/>
          <w:sz w:val="24"/>
          <w:szCs w:val="24"/>
        </w:rPr>
        <w:t>különbözetét</w:t>
      </w:r>
      <w:r w:rsidRPr="00AC5D57">
        <w:rPr>
          <w:rFonts w:ascii="Times New Roman" w:hAnsi="Times New Roman" w:cs="Times New Roman"/>
          <w:sz w:val="24"/>
          <w:szCs w:val="24"/>
        </w:rPr>
        <w:t xml:space="preserve"> kell az egyéb átfogó eredménnyel szemben megjeleníteni (a másik részt pedig értelemszerűen az eredménnyel szemben). Röviden: a teljes valós értékváltozást ketté kell bontani.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Ezen eszközök </w:t>
      </w:r>
      <w:r w:rsidRPr="009B433B">
        <w:rPr>
          <w:rFonts w:ascii="Times New Roman" w:hAnsi="Times New Roman" w:cs="Times New Roman"/>
          <w:b/>
          <w:sz w:val="24"/>
          <w:szCs w:val="24"/>
        </w:rPr>
        <w:t>könyv szerinti értéke</w:t>
      </w:r>
      <w:r w:rsidRPr="00AC5D57">
        <w:rPr>
          <w:rFonts w:ascii="Times New Roman" w:hAnsi="Times New Roman" w:cs="Times New Roman"/>
          <w:sz w:val="24"/>
          <w:szCs w:val="24"/>
        </w:rPr>
        <w:t xml:space="preserve"> mindig megegyezik a </w:t>
      </w:r>
      <w:r w:rsidRPr="009B433B">
        <w:rPr>
          <w:rFonts w:ascii="Times New Roman" w:hAnsi="Times New Roman" w:cs="Times New Roman"/>
          <w:b/>
          <w:sz w:val="24"/>
          <w:szCs w:val="24"/>
        </w:rPr>
        <w:t>valós értékükkel</w:t>
      </w:r>
      <w:r w:rsidRPr="00AC5D57">
        <w:rPr>
          <w:rFonts w:ascii="Times New Roman" w:hAnsi="Times New Roman" w:cs="Times New Roman"/>
          <w:sz w:val="24"/>
          <w:szCs w:val="24"/>
        </w:rPr>
        <w:t>, az értékvesztés ténye önmagában nem csökkenti azt. Ha valami folytán az eszköz valós értéke nem változik, de a gazdálkodó egység még is azonosít várható hitelezési veszteségeket a jövőben, akkor az értékvesztés egyik lába (tartozik oldal) az eredményben, a másik (követel oldal) pedig az egyéb átfogó eredményben csapódik le, ezzel nem változtatva az eszköz könyv szerinti értékén. Ilyenkor oda kell arra figyelni, hogy a legközelebbi valós értékváltozásnál, csak annyi értékvesztést számoljunk el az eredményben, hogy a kumulált értékvesztés rendben legyen (, azaz vegyük számításba az előzőleg már elszámolt értékvesztést is).</w:t>
      </w:r>
      <w:r>
        <w:rPr>
          <w:rFonts w:ascii="Times New Roman" w:hAnsi="Times New Roman" w:cs="Times New Roman"/>
          <w:sz w:val="24"/>
          <w:szCs w:val="24"/>
        </w:rPr>
        <w:t xml:space="preserve"> </w:t>
      </w:r>
      <w:r w:rsidRPr="00AC5D57">
        <w:rPr>
          <w:rFonts w:ascii="Times New Roman" w:hAnsi="Times New Roman" w:cs="Times New Roman"/>
          <w:sz w:val="24"/>
          <w:szCs w:val="24"/>
        </w:rPr>
        <w:t xml:space="preserve">Gyakorlatilag ez azt jelenti, hogy </w:t>
      </w:r>
      <w:r w:rsidRPr="009B433B">
        <w:rPr>
          <w:rFonts w:ascii="Times New Roman" w:hAnsi="Times New Roman" w:cs="Times New Roman"/>
          <w:b/>
          <w:sz w:val="24"/>
          <w:szCs w:val="24"/>
        </w:rPr>
        <w:t>az értékvesztés halmozódhat</w:t>
      </w:r>
      <w:r w:rsidRPr="00AC5D57">
        <w:rPr>
          <w:rFonts w:ascii="Times New Roman" w:hAnsi="Times New Roman" w:cs="Times New Roman"/>
          <w:sz w:val="24"/>
          <w:szCs w:val="24"/>
        </w:rPr>
        <w:t xml:space="preserve"> „az egyéb átfogó eredménnyel szemben” (tartozik: eredmény, követel: egyéb átfogó eredmény) </w:t>
      </w:r>
      <w:proofErr w:type="gramStart"/>
      <w:r w:rsidRPr="00AC5D57">
        <w:rPr>
          <w:rFonts w:ascii="Times New Roman" w:hAnsi="Times New Roman" w:cs="Times New Roman"/>
          <w:sz w:val="24"/>
          <w:szCs w:val="24"/>
        </w:rPr>
        <w:t>anélkül</w:t>
      </w:r>
      <w:proofErr w:type="gramEnd"/>
      <w:r w:rsidRPr="00AC5D57">
        <w:rPr>
          <w:rFonts w:ascii="Times New Roman" w:hAnsi="Times New Roman" w:cs="Times New Roman"/>
          <w:sz w:val="24"/>
          <w:szCs w:val="24"/>
        </w:rPr>
        <w:t xml:space="preserve"> is, hogy az eszköz valós értéke (és így könyv szerinti értéke) megváltozna. Az egyéb átfogó eredménnyel szemben valós értéken értékelt pénzügyi eszközök kivezetése során az egyéb átfogó eredményben (tőkében) felhalmozódott összeget át kell vezetni az eredménybe.</w:t>
      </w: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 xml:space="preserve">Hitelnyújtási elkötelezettségek és pénzügyi </w:t>
      </w:r>
      <w:proofErr w:type="gramStart"/>
      <w:r w:rsidRPr="00AC5D57">
        <w:rPr>
          <w:rFonts w:ascii="Times New Roman" w:hAnsi="Times New Roman" w:cs="Times New Roman"/>
          <w:b/>
          <w:sz w:val="24"/>
          <w:szCs w:val="24"/>
        </w:rPr>
        <w:t>garancia szerződések</w:t>
      </w:r>
      <w:proofErr w:type="gramEnd"/>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IFRS 9 a </w:t>
      </w:r>
      <w:r w:rsidRPr="009B433B">
        <w:rPr>
          <w:rFonts w:ascii="Times New Roman" w:hAnsi="Times New Roman" w:cs="Times New Roman"/>
          <w:b/>
          <w:sz w:val="24"/>
          <w:szCs w:val="24"/>
        </w:rPr>
        <w:t>hitelnyújtási elkötelezettség</w:t>
      </w:r>
      <w:r w:rsidRPr="00AC5D57">
        <w:rPr>
          <w:rFonts w:ascii="Times New Roman" w:hAnsi="Times New Roman" w:cs="Times New Roman"/>
          <w:sz w:val="24"/>
          <w:szCs w:val="24"/>
        </w:rPr>
        <w:t xml:space="preserve"> alatt egy – bizonyos feltételekhez és körülményekhez kötött – hitel nyújtására tett kötelezettségvállalást, a </w:t>
      </w:r>
      <w:r w:rsidRPr="009B433B">
        <w:rPr>
          <w:rFonts w:ascii="Times New Roman" w:hAnsi="Times New Roman" w:cs="Times New Roman"/>
          <w:b/>
          <w:sz w:val="24"/>
          <w:szCs w:val="24"/>
        </w:rPr>
        <w:t xml:space="preserve">pénzügyi </w:t>
      </w:r>
      <w:proofErr w:type="gramStart"/>
      <w:r w:rsidRPr="009B433B">
        <w:rPr>
          <w:rFonts w:ascii="Times New Roman" w:hAnsi="Times New Roman" w:cs="Times New Roman"/>
          <w:b/>
          <w:sz w:val="24"/>
          <w:szCs w:val="24"/>
        </w:rPr>
        <w:t>garancia szerződés</w:t>
      </w:r>
      <w:proofErr w:type="gramEnd"/>
      <w:r w:rsidRPr="00AC5D57">
        <w:rPr>
          <w:rFonts w:ascii="Times New Roman" w:hAnsi="Times New Roman" w:cs="Times New Roman"/>
          <w:sz w:val="24"/>
          <w:szCs w:val="24"/>
        </w:rPr>
        <w:t xml:space="preserve"> alatt pedig egy olyan szerződést ért, amelynek a kibocsátója köteles előre részletezett módon kárpótolni egy bizonyos hitelezőt azon veszteségéért, amely azért merült fel, mert egy bizonyos adósa nem teljesítette fizetési kötelezettségét, amikor azt az instrumentum (eredeti vagy módosított) feltételei alapján kellett volna.</w:t>
      </w:r>
      <w:r>
        <w:rPr>
          <w:rFonts w:ascii="Times New Roman" w:hAnsi="Times New Roman" w:cs="Times New Roman"/>
          <w:sz w:val="24"/>
          <w:szCs w:val="24"/>
        </w:rPr>
        <w:t xml:space="preserve"> </w:t>
      </w:r>
      <w:r w:rsidRPr="00AC5D57">
        <w:rPr>
          <w:rFonts w:ascii="Times New Roman" w:hAnsi="Times New Roman" w:cs="Times New Roman"/>
          <w:sz w:val="24"/>
          <w:szCs w:val="24"/>
        </w:rPr>
        <w:t xml:space="preserve">Csak a </w:t>
      </w:r>
      <w:r w:rsidRPr="00AC5D57">
        <w:rPr>
          <w:rFonts w:ascii="Times New Roman" w:hAnsi="Times New Roman" w:cs="Times New Roman"/>
          <w:b/>
          <w:sz w:val="24"/>
          <w:szCs w:val="24"/>
        </w:rPr>
        <w:t>nem</w:t>
      </w:r>
      <w:r w:rsidRPr="00AC5D57">
        <w:rPr>
          <w:rFonts w:ascii="Times New Roman" w:hAnsi="Times New Roman" w:cs="Times New Roman"/>
          <w:sz w:val="24"/>
          <w:szCs w:val="24"/>
        </w:rPr>
        <w:t xml:space="preserve"> </w:t>
      </w:r>
      <w:r w:rsidRPr="009B433B">
        <w:rPr>
          <w:rFonts w:ascii="Times New Roman" w:hAnsi="Times New Roman" w:cs="Times New Roman"/>
          <w:b/>
          <w:sz w:val="24"/>
          <w:szCs w:val="24"/>
        </w:rPr>
        <w:t>az eredménnyel</w:t>
      </w:r>
      <w:r w:rsidRPr="00AC5D57">
        <w:rPr>
          <w:rFonts w:ascii="Times New Roman" w:hAnsi="Times New Roman" w:cs="Times New Roman"/>
          <w:sz w:val="24"/>
          <w:szCs w:val="24"/>
        </w:rPr>
        <w:t xml:space="preserve"> szemben valós értéken értékelt hitelnyújtási elkötelezettségek és pénzügyi garancia szerződések tartoznak az IFRS 9 szerinti értékvesztés hatálya alá.</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lehívatlan hitelnyújtási elkötelezettségek esetében a várható hitelezési veszteségek becslése során a lehetséges hitelezőnek szükséges, hogy:</w:t>
      </w:r>
    </w:p>
    <w:p w:rsidR="00FF0C9A" w:rsidRPr="00AC5D57" w:rsidRDefault="00FF0C9A" w:rsidP="00174EBB">
      <w:pPr>
        <w:pStyle w:val="Listaszerbekezds"/>
        <w:numPr>
          <w:ilvl w:val="0"/>
          <w:numId w:val="43"/>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megbecsülje azon várható részét a hitelnyújtási elkötelezettségnek, amelyet lehív majd a másik fél</w:t>
      </w:r>
    </w:p>
    <w:p w:rsidR="00FF0C9A" w:rsidRPr="00AC5D57" w:rsidRDefault="00FF0C9A" w:rsidP="00174EBB">
      <w:pPr>
        <w:pStyle w:val="Listaszerbekezds"/>
        <w:numPr>
          <w:ilvl w:val="0"/>
          <w:numId w:val="43"/>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kiszámolja a (súlyozott) jelenértékét a cash flow-k</w:t>
      </w:r>
      <w:r w:rsidRPr="00AC5D57">
        <w:rPr>
          <w:rStyle w:val="Lbjegyzet-hivatkozs"/>
          <w:rFonts w:ascii="Times New Roman" w:hAnsi="Times New Roman" w:cs="Times New Roman"/>
          <w:sz w:val="24"/>
          <w:szCs w:val="24"/>
        </w:rPr>
        <w:footnoteReference w:id="16"/>
      </w:r>
      <w:r w:rsidRPr="00AC5D57">
        <w:rPr>
          <w:rFonts w:ascii="Times New Roman" w:hAnsi="Times New Roman" w:cs="Times New Roman"/>
          <w:sz w:val="24"/>
          <w:szCs w:val="24"/>
        </w:rPr>
        <w:t xml:space="preserve"> különbségének az előbb megbecsült rész esetleges lehívása esetén.</w:t>
      </w:r>
    </w:p>
    <w:p w:rsidR="00FF0C9A" w:rsidRDefault="00FF0C9A" w:rsidP="00FF0C9A">
      <w:pPr>
        <w:autoSpaceDE w:val="0"/>
        <w:autoSpaceDN w:val="0"/>
        <w:adjustRightInd w:val="0"/>
        <w:spacing w:after="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következő táblázat összefoglalja az általános megközelítés alá eső pénzügyi eszközök </w:t>
      </w:r>
      <w:r w:rsidRPr="00AC5D57">
        <w:rPr>
          <w:rFonts w:ascii="Times New Roman" w:hAnsi="Times New Roman" w:cs="Times New Roman"/>
          <w:b/>
          <w:sz w:val="24"/>
          <w:szCs w:val="24"/>
        </w:rPr>
        <w:t>értékvesztési jellemzőit</w:t>
      </w:r>
      <w:r w:rsidRPr="00AC5D57">
        <w:rPr>
          <w:rFonts w:ascii="Times New Roman" w:hAnsi="Times New Roman" w:cs="Times New Roman"/>
          <w:sz w:val="24"/>
          <w:szCs w:val="24"/>
        </w:rPr>
        <w:t xml:space="preserve">, így a hitelnyújtási elkötelezettségek és pénzügyi </w:t>
      </w:r>
      <w:proofErr w:type="gramStart"/>
      <w:r w:rsidRPr="00AC5D57">
        <w:rPr>
          <w:rFonts w:ascii="Times New Roman" w:hAnsi="Times New Roman" w:cs="Times New Roman"/>
          <w:sz w:val="24"/>
          <w:szCs w:val="24"/>
        </w:rPr>
        <w:t xml:space="preserve">garancia </w:t>
      </w:r>
      <w:r>
        <w:rPr>
          <w:rFonts w:ascii="Times New Roman" w:hAnsi="Times New Roman" w:cs="Times New Roman"/>
          <w:sz w:val="24"/>
          <w:szCs w:val="24"/>
        </w:rPr>
        <w:t>szerződések</w:t>
      </w:r>
      <w:proofErr w:type="gramEnd"/>
      <w:r>
        <w:rPr>
          <w:rFonts w:ascii="Times New Roman" w:hAnsi="Times New Roman" w:cs="Times New Roman"/>
          <w:sz w:val="24"/>
          <w:szCs w:val="24"/>
        </w:rPr>
        <w:t xml:space="preserve"> különlegességeit is (3.</w:t>
      </w:r>
      <w:r w:rsidR="00D156B6">
        <w:rPr>
          <w:rFonts w:ascii="Times New Roman" w:hAnsi="Times New Roman" w:cs="Times New Roman"/>
          <w:sz w:val="24"/>
          <w:szCs w:val="24"/>
        </w:rPr>
        <w:t xml:space="preserve"> </w:t>
      </w:r>
      <w:r>
        <w:rPr>
          <w:rFonts w:ascii="Times New Roman" w:hAnsi="Times New Roman" w:cs="Times New Roman"/>
          <w:sz w:val="24"/>
          <w:szCs w:val="24"/>
        </w:rPr>
        <w:t>táblázat):</w:t>
      </w:r>
    </w:p>
    <w:p w:rsidR="00FF0C9A" w:rsidRPr="00AC5D57" w:rsidRDefault="00FF0C9A" w:rsidP="00FF0C9A">
      <w:pPr>
        <w:rPr>
          <w:rFonts w:ascii="Times New Roman" w:hAnsi="Times New Roman" w:cs="Times New Roman"/>
          <w:sz w:val="24"/>
          <w:szCs w:val="24"/>
        </w:rPr>
      </w:pPr>
      <w:r>
        <w:rPr>
          <w:rFonts w:ascii="Times New Roman" w:hAnsi="Times New Roman" w:cs="Times New Roman"/>
          <w:sz w:val="24"/>
          <w:szCs w:val="24"/>
        </w:rPr>
        <w:br w:type="page"/>
      </w:r>
    </w:p>
    <w:tbl>
      <w:tblPr>
        <w:tblW w:w="9180" w:type="dxa"/>
        <w:tblLook w:val="04A0"/>
      </w:tblPr>
      <w:tblGrid>
        <w:gridCol w:w="1809"/>
        <w:gridCol w:w="2268"/>
        <w:gridCol w:w="2552"/>
        <w:gridCol w:w="2551"/>
      </w:tblGrid>
      <w:tr w:rsidR="00FF0C9A" w:rsidRPr="00AC5D57" w:rsidTr="00FF0C9A">
        <w:trPr>
          <w:trHeight w:val="730"/>
        </w:trPr>
        <w:tc>
          <w:tcPr>
            <w:tcW w:w="1809" w:type="dxa"/>
            <w:tcBorders>
              <w:top w:val="single" w:sz="8" w:space="0" w:color="000000" w:themeColor="text1"/>
              <w:left w:val="single" w:sz="8" w:space="0" w:color="000000" w:themeColor="text1"/>
              <w:right w:val="single" w:sz="18" w:space="0" w:color="000000" w:themeColor="text1"/>
            </w:tcBorders>
          </w:tcPr>
          <w:p w:rsidR="00FF0C9A" w:rsidRPr="00FF0C9A" w:rsidRDefault="00FF0C9A" w:rsidP="00FF0C9A">
            <w:pPr>
              <w:autoSpaceDE w:val="0"/>
              <w:autoSpaceDN w:val="0"/>
              <w:adjustRightInd w:val="0"/>
              <w:spacing w:after="120" w:line="360" w:lineRule="auto"/>
              <w:jc w:val="both"/>
              <w:rPr>
                <w:rFonts w:ascii="Times New Roman" w:hAnsi="Times New Roman" w:cs="Times New Roman"/>
                <w:sz w:val="24"/>
                <w:szCs w:val="24"/>
              </w:rPr>
            </w:pPr>
          </w:p>
        </w:tc>
        <w:tc>
          <w:tcPr>
            <w:tcW w:w="2268" w:type="dxa"/>
            <w:tcBorders>
              <w:left w:val="single" w:sz="18" w:space="0" w:color="000000" w:themeColor="text1"/>
            </w:tcBorders>
          </w:tcPr>
          <w:p w:rsidR="00FF0C9A" w:rsidRPr="00AC5D57"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AC5D57">
              <w:rPr>
                <w:rFonts w:ascii="Times New Roman" w:hAnsi="Times New Roman" w:cs="Times New Roman"/>
                <w:sz w:val="24"/>
                <w:szCs w:val="24"/>
              </w:rPr>
              <w:t>Amortizált vagy FVTOCI eszközök</w:t>
            </w:r>
          </w:p>
        </w:tc>
        <w:tc>
          <w:tcPr>
            <w:tcW w:w="2552" w:type="dxa"/>
          </w:tcPr>
          <w:p w:rsidR="00FF0C9A" w:rsidRPr="00AC5D57"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AC5D57">
              <w:rPr>
                <w:rFonts w:ascii="Times New Roman" w:hAnsi="Times New Roman" w:cs="Times New Roman"/>
                <w:sz w:val="24"/>
                <w:szCs w:val="24"/>
              </w:rPr>
              <w:t>Hitelnyújtási elkötelezettségek</w:t>
            </w:r>
          </w:p>
        </w:tc>
        <w:tc>
          <w:tcPr>
            <w:tcW w:w="2551" w:type="dxa"/>
          </w:tcPr>
          <w:p w:rsidR="00FF0C9A" w:rsidRPr="00AC5D57"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AC5D57">
              <w:rPr>
                <w:rFonts w:ascii="Times New Roman" w:hAnsi="Times New Roman" w:cs="Times New Roman"/>
                <w:sz w:val="24"/>
                <w:szCs w:val="24"/>
              </w:rPr>
              <w:t>Pénzügyi garancia szerződések</w:t>
            </w:r>
          </w:p>
        </w:tc>
      </w:tr>
      <w:tr w:rsidR="00FF0C9A" w:rsidRPr="00AC5D57" w:rsidTr="00FF0C9A">
        <w:trPr>
          <w:trHeight w:val="1144"/>
        </w:trPr>
        <w:tc>
          <w:tcPr>
            <w:tcW w:w="1809" w:type="dxa"/>
          </w:tcPr>
          <w:p w:rsidR="00FF0C9A" w:rsidRPr="00AC5D57" w:rsidRDefault="00FF0C9A" w:rsidP="00FF0C9A">
            <w:pPr>
              <w:autoSpaceDE w:val="0"/>
              <w:autoSpaceDN w:val="0"/>
              <w:adjustRightInd w:val="0"/>
              <w:spacing w:after="120" w:line="360" w:lineRule="auto"/>
              <w:rPr>
                <w:rFonts w:ascii="Times New Roman" w:hAnsi="Times New Roman" w:cs="Times New Roman"/>
                <w:sz w:val="24"/>
                <w:szCs w:val="24"/>
              </w:rPr>
            </w:pPr>
            <w:r w:rsidRPr="00AC5D57">
              <w:rPr>
                <w:rFonts w:ascii="Times New Roman" w:hAnsi="Times New Roman" w:cs="Times New Roman"/>
                <w:sz w:val="24"/>
                <w:szCs w:val="24"/>
              </w:rPr>
              <w:t>Kezdeti megjelenítés napja</w:t>
            </w:r>
          </w:p>
        </w:tc>
        <w:tc>
          <w:tcPr>
            <w:tcW w:w="2268" w:type="dxa"/>
          </w:tcPr>
          <w:p w:rsidR="00FF0C9A" w:rsidRPr="00AC5D57" w:rsidRDefault="00FF0C9A" w:rsidP="00D156B6">
            <w:pPr>
              <w:autoSpaceDE w:val="0"/>
              <w:autoSpaceDN w:val="0"/>
              <w:adjustRightInd w:val="0"/>
              <w:spacing w:after="120" w:line="360" w:lineRule="auto"/>
              <w:rPr>
                <w:rFonts w:ascii="Times New Roman" w:hAnsi="Times New Roman" w:cs="Times New Roman"/>
                <w:sz w:val="24"/>
                <w:szCs w:val="24"/>
              </w:rPr>
            </w:pPr>
            <w:r w:rsidRPr="00AC5D57">
              <w:rPr>
                <w:rFonts w:ascii="Times New Roman" w:hAnsi="Times New Roman" w:cs="Times New Roman"/>
                <w:sz w:val="24"/>
                <w:szCs w:val="24"/>
              </w:rPr>
              <w:t>kötési időpont</w:t>
            </w:r>
          </w:p>
        </w:tc>
        <w:tc>
          <w:tcPr>
            <w:tcW w:w="2552" w:type="dxa"/>
          </w:tcPr>
          <w:p w:rsidR="00FF0C9A" w:rsidRPr="00AC5D57" w:rsidRDefault="00FF0C9A" w:rsidP="00FF0C9A">
            <w:pPr>
              <w:autoSpaceDE w:val="0"/>
              <w:autoSpaceDN w:val="0"/>
              <w:adjustRightInd w:val="0"/>
              <w:spacing w:after="120" w:line="360" w:lineRule="auto"/>
              <w:rPr>
                <w:rFonts w:ascii="Times New Roman" w:hAnsi="Times New Roman" w:cs="Times New Roman"/>
                <w:sz w:val="24"/>
                <w:szCs w:val="24"/>
              </w:rPr>
            </w:pPr>
            <w:r w:rsidRPr="00AC5D57">
              <w:rPr>
                <w:rFonts w:ascii="Times New Roman" w:hAnsi="Times New Roman" w:cs="Times New Roman"/>
                <w:sz w:val="24"/>
                <w:szCs w:val="24"/>
              </w:rPr>
              <w:t>a nap, amikor az (visszavonhatatlan) elköteleződés létrejött</w:t>
            </w:r>
          </w:p>
        </w:tc>
        <w:tc>
          <w:tcPr>
            <w:tcW w:w="2551" w:type="dxa"/>
          </w:tcPr>
          <w:p w:rsidR="00FF0C9A" w:rsidRPr="00AC5D57" w:rsidRDefault="00FF0C9A" w:rsidP="00FF0C9A">
            <w:pPr>
              <w:autoSpaceDE w:val="0"/>
              <w:autoSpaceDN w:val="0"/>
              <w:adjustRightInd w:val="0"/>
              <w:spacing w:after="120" w:line="360" w:lineRule="auto"/>
              <w:rPr>
                <w:rFonts w:ascii="Times New Roman" w:hAnsi="Times New Roman" w:cs="Times New Roman"/>
                <w:sz w:val="24"/>
                <w:szCs w:val="24"/>
              </w:rPr>
            </w:pPr>
            <w:r w:rsidRPr="00AC5D57">
              <w:rPr>
                <w:rFonts w:ascii="Times New Roman" w:hAnsi="Times New Roman" w:cs="Times New Roman"/>
                <w:sz w:val="24"/>
                <w:szCs w:val="24"/>
              </w:rPr>
              <w:t>a nap, amikor az (visszavonhatatlan) elköteleződés létrejött</w:t>
            </w:r>
          </w:p>
        </w:tc>
      </w:tr>
      <w:tr w:rsidR="00FF0C9A" w:rsidRPr="00AC5D57" w:rsidTr="00FF0C9A">
        <w:trPr>
          <w:trHeight w:val="2024"/>
        </w:trPr>
        <w:tc>
          <w:tcPr>
            <w:tcW w:w="1809"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várható hitelezési veszteségek becslésének periódusa</w:t>
            </w:r>
          </w:p>
        </w:tc>
        <w:tc>
          <w:tcPr>
            <w:tcW w:w="2268"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maximális szerződéses időszak, amely alatt hitelezési kockázatnak van kitéve</w:t>
            </w:r>
          </w:p>
        </w:tc>
        <w:tc>
          <w:tcPr>
            <w:tcW w:w="2552"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 xml:space="preserve">a maximális szerződéses időszak, amely alatt szerződéses kötelezettsége van </w:t>
            </w:r>
          </w:p>
        </w:tc>
        <w:tc>
          <w:tcPr>
            <w:tcW w:w="2551"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maximális szerződéses időszak, amely alatt szerződéses kötelezettsége van</w:t>
            </w:r>
          </w:p>
        </w:tc>
      </w:tr>
      <w:tr w:rsidR="00FF0C9A" w:rsidRPr="00AC5D57" w:rsidTr="00FF0C9A">
        <w:trPr>
          <w:trHeight w:val="2793"/>
        </w:trPr>
        <w:tc>
          <w:tcPr>
            <w:tcW w:w="1809"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Cash flow-k különbsége a várható hitelezési veszteségek értékelésénél</w:t>
            </w:r>
          </w:p>
        </w:tc>
        <w:tc>
          <w:tcPr>
            <w:tcW w:w="2268"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szerződés szerinti cash flow-k és a szerinte várhatóan kifizetetésre kerülő cash flow-k különbsége</w:t>
            </w:r>
          </w:p>
        </w:tc>
        <w:tc>
          <w:tcPr>
            <w:tcW w:w="2552"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lehívás esetén: a szerződés szerinti cash flow-k és a szerinte várhatóan kifizetésre kerülő cash flow-k különbsége</w:t>
            </w:r>
          </w:p>
        </w:tc>
        <w:tc>
          <w:tcPr>
            <w:tcW w:w="2551"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várhatóan általa kifizetésre kerülő cash flow-k (kárpótlás) és az ügylet kapcsán várhatóan kapott cash flow-k (bárkitől) különbsége</w:t>
            </w:r>
          </w:p>
        </w:tc>
      </w:tr>
      <w:tr w:rsidR="00FF0C9A" w:rsidRPr="00AC5D57" w:rsidTr="00FF0C9A">
        <w:trPr>
          <w:trHeight w:val="1740"/>
        </w:trPr>
        <w:tc>
          <w:tcPr>
            <w:tcW w:w="1809"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várható hitelezési veszteségek diszkontrátája</w:t>
            </w:r>
          </w:p>
        </w:tc>
        <w:tc>
          <w:tcPr>
            <w:tcW w:w="2268"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kezdeti megjelenítésnél meghatározott effektív kamatláb</w:t>
            </w:r>
          </w:p>
        </w:tc>
        <w:tc>
          <w:tcPr>
            <w:tcW w:w="2552"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 xml:space="preserve">az elkötelezettség lehívása utáni effektív kamatláb </w:t>
            </w:r>
          </w:p>
        </w:tc>
        <w:tc>
          <w:tcPr>
            <w:tcW w:w="2551" w:type="dxa"/>
          </w:tcPr>
          <w:p w:rsidR="00FF0C9A" w:rsidRPr="00AC5D57" w:rsidRDefault="00FF0C9A" w:rsidP="00FF0C9A">
            <w:pPr>
              <w:autoSpaceDE w:val="0"/>
              <w:autoSpaceDN w:val="0"/>
              <w:adjustRightInd w:val="0"/>
              <w:spacing w:after="120" w:line="360" w:lineRule="auto"/>
              <w:rPr>
                <w:rFonts w:ascii="Times New Roman" w:hAnsi="Times New Roman" w:cs="Times New Roman"/>
                <w:sz w:val="24"/>
                <w:szCs w:val="24"/>
              </w:rPr>
            </w:pPr>
            <w:r w:rsidRPr="00AC5D57">
              <w:rPr>
                <w:rFonts w:ascii="Times New Roman" w:hAnsi="Times New Roman" w:cs="Times New Roman"/>
                <w:sz w:val="24"/>
                <w:szCs w:val="24"/>
              </w:rPr>
              <w:t>az aktuális ráta, amely a cash flow-k kockázatát tükrözi</w:t>
            </w:r>
          </w:p>
        </w:tc>
      </w:tr>
      <w:tr w:rsidR="00FF0C9A" w:rsidRPr="00AC5D57" w:rsidTr="00FF0C9A">
        <w:trPr>
          <w:trHeight w:val="2205"/>
        </w:trPr>
        <w:tc>
          <w:tcPr>
            <w:tcW w:w="1809"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hitelezési kockázatban szignifikáns növekedés vizsgálata</w:t>
            </w:r>
          </w:p>
        </w:tc>
        <w:tc>
          <w:tcPr>
            <w:tcW w:w="2268"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nemfizetés kockázatában bekövetkező változások figyelembevétele</w:t>
            </w:r>
          </w:p>
        </w:tc>
        <w:tc>
          <w:tcPr>
            <w:tcW w:w="2552"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hitelhez kapcsolódó nemfizetés kockázatában bekövetkező változások figyelembevétele</w:t>
            </w:r>
          </w:p>
        </w:tc>
        <w:tc>
          <w:tcPr>
            <w:tcW w:w="2551" w:type="dxa"/>
          </w:tcPr>
          <w:p w:rsidR="00FF0C9A" w:rsidRPr="00FF0C9A" w:rsidRDefault="00FF0C9A" w:rsidP="00FF0C9A">
            <w:pPr>
              <w:autoSpaceDE w:val="0"/>
              <w:autoSpaceDN w:val="0"/>
              <w:adjustRightInd w:val="0"/>
              <w:spacing w:after="120" w:line="360" w:lineRule="auto"/>
              <w:rPr>
                <w:rFonts w:ascii="Times New Roman" w:hAnsi="Times New Roman" w:cs="Times New Roman"/>
                <w:sz w:val="24"/>
                <w:szCs w:val="24"/>
              </w:rPr>
            </w:pPr>
            <w:r w:rsidRPr="00FF0C9A">
              <w:rPr>
                <w:rFonts w:ascii="Times New Roman" w:hAnsi="Times New Roman" w:cs="Times New Roman"/>
                <w:sz w:val="24"/>
                <w:szCs w:val="24"/>
              </w:rPr>
              <w:t>a bizonyos adós nemfizetésének kockázatában bekövetkező változások figyelembevétele</w:t>
            </w:r>
          </w:p>
        </w:tc>
      </w:tr>
    </w:tbl>
    <w:p w:rsidR="00FF0C9A" w:rsidRPr="002D150E" w:rsidRDefault="00FF0C9A" w:rsidP="00FF0C9A">
      <w:pPr>
        <w:autoSpaceDE w:val="0"/>
        <w:autoSpaceDN w:val="0"/>
        <w:adjustRightInd w:val="0"/>
        <w:spacing w:after="240" w:line="360" w:lineRule="auto"/>
        <w:jc w:val="both"/>
        <w:rPr>
          <w:rFonts w:ascii="Times New Roman" w:hAnsi="Times New Roman" w:cs="Times New Roman"/>
          <w:sz w:val="20"/>
          <w:szCs w:val="20"/>
        </w:rPr>
      </w:pPr>
      <w:proofErr w:type="gramStart"/>
      <w:r w:rsidRPr="002D150E">
        <w:rPr>
          <w:rFonts w:ascii="Times New Roman" w:hAnsi="Times New Roman" w:cs="Times New Roman"/>
          <w:sz w:val="20"/>
          <w:szCs w:val="20"/>
        </w:rPr>
        <w:t>forrás</w:t>
      </w:r>
      <w:proofErr w:type="gramEnd"/>
      <w:r w:rsidRPr="002D150E">
        <w:rPr>
          <w:rFonts w:ascii="Times New Roman" w:hAnsi="Times New Roman" w:cs="Times New Roman"/>
          <w:sz w:val="20"/>
          <w:szCs w:val="20"/>
        </w:rPr>
        <w:t>:http://www.ey.com/Publication/vwLUAssets/Applying_IFRS:_Impairment_of_financial_instruments_under_IFRS_9/$FILE/Apply-FI-Dec2014.pdf, pp. 71.</w:t>
      </w:r>
    </w:p>
    <w:p w:rsidR="00D156B6" w:rsidRDefault="00D156B6" w:rsidP="00FF0C9A">
      <w:pPr>
        <w:autoSpaceDE w:val="0"/>
        <w:autoSpaceDN w:val="0"/>
        <w:adjustRightInd w:val="0"/>
        <w:spacing w:after="120" w:line="360" w:lineRule="auto"/>
        <w:jc w:val="both"/>
        <w:rPr>
          <w:rFonts w:ascii="Times New Roman" w:hAnsi="Times New Roman" w:cs="Times New Roman"/>
          <w:b/>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b/>
          <w:sz w:val="24"/>
          <w:szCs w:val="24"/>
        </w:rPr>
      </w:pPr>
      <w:r w:rsidRPr="00AC5D57">
        <w:rPr>
          <w:rFonts w:ascii="Times New Roman" w:hAnsi="Times New Roman" w:cs="Times New Roman"/>
          <w:b/>
          <w:sz w:val="24"/>
          <w:szCs w:val="24"/>
        </w:rPr>
        <w:t xml:space="preserve">Pénzügyi eszközök átsorolása illetve (szerződéses cash flow-inak) módosulása </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Ha a szerződéses cash flow-i egy pénzügyi eszköznek </w:t>
      </w:r>
      <w:r w:rsidRPr="00AC5D57">
        <w:rPr>
          <w:rFonts w:ascii="Times New Roman" w:hAnsi="Times New Roman" w:cs="Times New Roman"/>
          <w:b/>
          <w:sz w:val="24"/>
          <w:szCs w:val="24"/>
        </w:rPr>
        <w:t>módosulnak</w:t>
      </w:r>
      <w:r w:rsidRPr="00AC5D57">
        <w:rPr>
          <w:rFonts w:ascii="Times New Roman" w:hAnsi="Times New Roman" w:cs="Times New Roman"/>
          <w:sz w:val="24"/>
          <w:szCs w:val="24"/>
        </w:rPr>
        <w:t xml:space="preserve"> vagy újratárgyalják őket, akkor a gazdálkodó egységnek meg kell tudni állapítania, hogy:</w:t>
      </w:r>
    </w:p>
    <w:p w:rsidR="00FF0C9A" w:rsidRPr="00AC5D57" w:rsidRDefault="00FF0C9A" w:rsidP="00174EBB">
      <w:pPr>
        <w:pStyle w:val="Listaszerbekezds"/>
        <w:numPr>
          <w:ilvl w:val="0"/>
          <w:numId w:val="4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módosulás az eszköz kivezetésével jár, vagy</w:t>
      </w:r>
    </w:p>
    <w:p w:rsidR="00FF0C9A" w:rsidRPr="00AC5D57" w:rsidRDefault="00FF0C9A" w:rsidP="00174EBB">
      <w:pPr>
        <w:pStyle w:val="Listaszerbekezds"/>
        <w:numPr>
          <w:ilvl w:val="0"/>
          <w:numId w:val="46"/>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nem jár annak kivezetésével.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Ha </w:t>
      </w:r>
      <w:r w:rsidRPr="00AC5D57">
        <w:rPr>
          <w:rFonts w:ascii="Times New Roman" w:hAnsi="Times New Roman" w:cs="Times New Roman"/>
          <w:b/>
          <w:sz w:val="24"/>
          <w:szCs w:val="24"/>
        </w:rPr>
        <w:t>nem jár kivezetéssel</w:t>
      </w:r>
      <w:r w:rsidRPr="00AC5D57">
        <w:rPr>
          <w:rFonts w:ascii="Times New Roman" w:hAnsi="Times New Roman" w:cs="Times New Roman"/>
          <w:sz w:val="24"/>
          <w:szCs w:val="24"/>
        </w:rPr>
        <w:t>, akkor a gazdálkodó egységnek a következőket kell elvégeznie az eszközzel kapcsolatban:</w:t>
      </w:r>
    </w:p>
    <w:p w:rsidR="00FF0C9A" w:rsidRPr="00AC5D57" w:rsidRDefault="00FF0C9A" w:rsidP="00174EBB">
      <w:pPr>
        <w:pStyle w:val="Listaszerbekezds"/>
        <w:numPr>
          <w:ilvl w:val="0"/>
          <w:numId w:val="4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Folytatnia kell a számviteli kezelését a módosult pénzügyi eszköznek.</w:t>
      </w:r>
    </w:p>
    <w:p w:rsidR="00FF0C9A" w:rsidRPr="00AC5D57" w:rsidRDefault="00FF0C9A" w:rsidP="00174EBB">
      <w:pPr>
        <w:pStyle w:val="Listaszerbekezds"/>
        <w:numPr>
          <w:ilvl w:val="0"/>
          <w:numId w:val="4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Újra kell számolnia a pénzügyi eszköz könyv szerinti értékét, ami az új szerződéses cash flow-k jelenértékének – az eredeti effektív kamatlábbal – diszkontált értéke lesz, és a módosulás következtében keletkező veszteségeket/nyereségeket fel kell vennie az eredménnyel szemben.</w:t>
      </w:r>
    </w:p>
    <w:p w:rsidR="00FF0C9A" w:rsidRPr="00AC5D57" w:rsidRDefault="00FF0C9A" w:rsidP="00174EBB">
      <w:pPr>
        <w:pStyle w:val="Listaszerbekezds"/>
        <w:numPr>
          <w:ilvl w:val="0"/>
          <w:numId w:val="4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Meg kell határoznia, hogy történt-e szignifikáns növekedés a hitelezési kockázatban, a </w:t>
      </w:r>
      <w:proofErr w:type="spellStart"/>
      <w:r w:rsidRPr="00AC5D57">
        <w:rPr>
          <w:rFonts w:ascii="Times New Roman" w:hAnsi="Times New Roman" w:cs="Times New Roman"/>
          <w:sz w:val="24"/>
          <w:szCs w:val="24"/>
        </w:rPr>
        <w:t>bekerüléskori</w:t>
      </w:r>
      <w:proofErr w:type="spellEnd"/>
      <w:r w:rsidRPr="00AC5D57">
        <w:rPr>
          <w:rFonts w:ascii="Times New Roman" w:hAnsi="Times New Roman" w:cs="Times New Roman"/>
          <w:sz w:val="24"/>
          <w:szCs w:val="24"/>
        </w:rPr>
        <w:t xml:space="preserve"> (eredeti, módosítatlan szerződési feltételek melletti) és a fordulónapi nemfizetés kockázatának összehasonlításával. Az értékelés során a várható élettartam alatti hitelezési kockázatot kell számításba vennie úgy, hogy a korábbi és az előremutató információkat – beleértve a módosuláshoz vezető körülményeket is </w:t>
      </w:r>
      <w:proofErr w:type="gramStart"/>
      <w:r w:rsidRPr="00AC5D57">
        <w:rPr>
          <w:rFonts w:ascii="Times New Roman" w:hAnsi="Times New Roman" w:cs="Times New Roman"/>
          <w:sz w:val="24"/>
          <w:szCs w:val="24"/>
        </w:rPr>
        <w:t>–  sem</w:t>
      </w:r>
      <w:proofErr w:type="gramEnd"/>
      <w:r w:rsidRPr="00AC5D57">
        <w:rPr>
          <w:rFonts w:ascii="Times New Roman" w:hAnsi="Times New Roman" w:cs="Times New Roman"/>
          <w:sz w:val="24"/>
          <w:szCs w:val="24"/>
        </w:rPr>
        <w:t xml:space="preserve"> hagyja figyelmen kívül.</w:t>
      </w:r>
    </w:p>
    <w:p w:rsidR="00FF0C9A" w:rsidRPr="00AC5D57" w:rsidRDefault="00FF0C9A" w:rsidP="00174EBB">
      <w:pPr>
        <w:pStyle w:val="Listaszerbekezds"/>
        <w:numPr>
          <w:ilvl w:val="0"/>
          <w:numId w:val="47"/>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Meg kell csinálnia a – módosulás által megkövetelt – megfelelő mennyiségi és minőségi közzétételeket, annak érdekében, hogy a pénzügyi beszámolók használói megérthessék a természetét és a hatását a módosulásnak, illetve azt, hogy a gazdálkodó egység hogyan szándékozik nyomon követni az adott eszközt a továbbiakban.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kivezetéssel nem járó módosulás következtében tehát nem kell automatikusan a pénzügyi eszközt alacsonyabb hitelezési kockázatúvá minősíteni. Ha a hitelezési kockázat a módosulás előtt magas volt, akkor tipikusan tartósan jó fizetési magatartást kell az adósnak mutatnia ahhoz, hogy a hitelezési kockázata a pénzügyi eszköznek javuljon.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eszköz </w:t>
      </w:r>
      <w:r w:rsidRPr="00AC5D57">
        <w:rPr>
          <w:rFonts w:ascii="Times New Roman" w:hAnsi="Times New Roman" w:cs="Times New Roman"/>
          <w:b/>
          <w:sz w:val="24"/>
          <w:szCs w:val="24"/>
        </w:rPr>
        <w:t>kivezetésével járó</w:t>
      </w:r>
      <w:r w:rsidRPr="00AC5D57">
        <w:rPr>
          <w:rFonts w:ascii="Times New Roman" w:hAnsi="Times New Roman" w:cs="Times New Roman"/>
          <w:sz w:val="24"/>
          <w:szCs w:val="24"/>
        </w:rPr>
        <w:t xml:space="preserve"> módosulások esetében meg kell vizsgálni, hogy ennek eredményeképpen keletkezett-e új pénzügyi eszköz, amelyet a gazdálkodó egység számviteli elszámolásaiban meg kellene jeleníteni. Amennyiben igen, akkor a módosulás dátuma meg fog egyezni az új eszköz kezdeti megjelenítésének dátumával az értékvesztés szempontjából. Előfordulhat, hogy az új eszköz már egyből értékvesztettnek minősül a kezdeti megjelenítésnél.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következő ábra szemlélteti a „módosult” pénzügyi eszköz hitelezési kockázatában történt szignifikáns növekedés</w:t>
      </w:r>
      <w:r>
        <w:rPr>
          <w:rFonts w:ascii="Times New Roman" w:hAnsi="Times New Roman" w:cs="Times New Roman"/>
          <w:sz w:val="24"/>
          <w:szCs w:val="24"/>
        </w:rPr>
        <w:t xml:space="preserve"> megálla</w:t>
      </w:r>
      <w:r w:rsidR="00126740">
        <w:rPr>
          <w:rFonts w:ascii="Times New Roman" w:hAnsi="Times New Roman" w:cs="Times New Roman"/>
          <w:sz w:val="24"/>
          <w:szCs w:val="24"/>
        </w:rPr>
        <w:t>pításának főbb lépéseit (10</w:t>
      </w:r>
      <w:r>
        <w:rPr>
          <w:rFonts w:ascii="Times New Roman" w:hAnsi="Times New Roman" w:cs="Times New Roman"/>
          <w:sz w:val="24"/>
          <w:szCs w:val="24"/>
        </w:rPr>
        <w:t>.</w:t>
      </w:r>
      <w:r w:rsidR="00D156B6">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AC5D57" w:rsidRDefault="00FF0C9A" w:rsidP="00FF0C9A">
      <w:pPr>
        <w:autoSpaceDE w:val="0"/>
        <w:autoSpaceDN w:val="0"/>
        <w:adjustRightInd w:val="0"/>
        <w:spacing w:after="0" w:line="360" w:lineRule="auto"/>
        <w:jc w:val="both"/>
        <w:rPr>
          <w:rFonts w:ascii="Times New Roman" w:hAnsi="Times New Roman" w:cs="Times New Roman"/>
          <w:sz w:val="24"/>
          <w:szCs w:val="24"/>
        </w:rPr>
      </w:pPr>
      <w:r w:rsidRPr="00AC5D57">
        <w:rPr>
          <w:rFonts w:ascii="Times New Roman" w:hAnsi="Times New Roman" w:cs="Times New Roman"/>
          <w:noProof/>
          <w:sz w:val="24"/>
          <w:szCs w:val="24"/>
          <w:lang w:eastAsia="hu-HU"/>
        </w:rPr>
        <w:drawing>
          <wp:inline distT="0" distB="0" distL="0" distR="0">
            <wp:extent cx="5762625" cy="3638550"/>
            <wp:effectExtent l="19050" t="0" r="0" b="0"/>
            <wp:docPr id="11" name="Objektum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88832" cy="3650922"/>
                      <a:chOff x="1043608" y="1340768"/>
                      <a:chExt cx="7488832" cy="3650922"/>
                    </a:xfrm>
                  </a:grpSpPr>
                  <a:sp>
                    <a:nvSpPr>
                      <a:cNvPr id="9" name="Lekerekített téglalap 8"/>
                      <a:cNvSpPr/>
                    </a:nvSpPr>
                    <a:spPr>
                      <a:xfrm>
                        <a:off x="1043608" y="1340768"/>
                        <a:ext cx="7488832" cy="504056"/>
                      </a:xfrm>
                      <a:prstGeom prst="roundRect">
                        <a:avLst/>
                      </a:prstGeom>
                      <a:solidFill>
                        <a:schemeClr val="bg1">
                          <a:lumMod val="50000"/>
                        </a:schemeClr>
                      </a:solidFill>
                      <a:ln>
                        <a:solidFill>
                          <a:schemeClr val="tx1">
                            <a:lumMod val="65000"/>
                            <a:lumOff val="3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A módosulás kivezetéssel jár?</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Lekerekített téglalap 9"/>
                      <a:cNvSpPr/>
                    </a:nvSpPr>
                    <a:spPr>
                      <a:xfrm>
                        <a:off x="1043608" y="2348880"/>
                        <a:ext cx="3600400" cy="504056"/>
                      </a:xfrm>
                      <a:prstGeom prst="roundRect">
                        <a:avLst/>
                      </a:prstGeom>
                      <a:ln>
                        <a:solidFill>
                          <a:schemeClr val="accent1">
                            <a:lumMod val="7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Az új eszköz értékelése</a:t>
                          </a:r>
                          <a:endParaRPr lang="hu-HU"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Lekerekített téglalap 10"/>
                      <a:cNvSpPr/>
                    </a:nvSpPr>
                    <a:spPr>
                      <a:xfrm>
                        <a:off x="4932040" y="2348880"/>
                        <a:ext cx="3600400" cy="504056"/>
                      </a:xfrm>
                      <a:prstGeom prst="roundRect">
                        <a:avLst/>
                      </a:prstGeom>
                      <a:solidFill>
                        <a:schemeClr val="accent1"/>
                      </a:solidFill>
                      <a:ln>
                        <a:solidFill>
                          <a:schemeClr val="accent1">
                            <a:lumMod val="7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b="1" dirty="0" smtClean="0">
                              <a:solidFill>
                                <a:schemeClr val="tx1"/>
                              </a:solidFill>
                            </a:rPr>
                            <a:t>A régi eszköz értékelése</a:t>
                          </a:r>
                          <a:endParaRPr lang="hu-HU"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Lekerekített téglalap 12"/>
                      <a:cNvSpPr/>
                    </a:nvSpPr>
                    <a:spPr>
                      <a:xfrm>
                        <a:off x="5004048" y="3356992"/>
                        <a:ext cx="1656184" cy="1152128"/>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nemfizetés kockázata a fordulónapon a </a:t>
                          </a:r>
                          <a:r>
                            <a:rPr lang="hu-HU" sz="1400" b="1" dirty="0" smtClean="0">
                              <a:solidFill>
                                <a:schemeClr val="tx1"/>
                              </a:solidFill>
                            </a:rPr>
                            <a:t>módosult</a:t>
                          </a:r>
                          <a:r>
                            <a:rPr lang="hu-HU" sz="1400" dirty="0" smtClean="0">
                              <a:solidFill>
                                <a:schemeClr val="tx1"/>
                              </a:solidFill>
                            </a:rPr>
                            <a:t> feltételek alapján</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Egyenes összekötő nyíllal 15"/>
                      <a:cNvCxnSpPr>
                        <a:stCxn id="9" idx="2"/>
                        <a:endCxn id="10" idx="0"/>
                      </a:cNvCxnSpPr>
                    </a:nvCxnSpPr>
                    <a:spPr>
                      <a:xfrm flipH="1">
                        <a:off x="2843808" y="1844824"/>
                        <a:ext cx="1944216"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Egyenes összekötő nyíllal 17"/>
                      <a:cNvCxnSpPr>
                        <a:stCxn id="9" idx="2"/>
                        <a:endCxn id="11" idx="0"/>
                      </a:cNvCxnSpPr>
                    </a:nvCxnSpPr>
                    <a:spPr>
                      <a:xfrm>
                        <a:off x="4788024" y="1844824"/>
                        <a:ext cx="1944216"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 name="Szövegdoboz 18"/>
                      <a:cNvSpPr txBox="1"/>
                    </a:nvSpPr>
                    <a:spPr>
                      <a:xfrm>
                        <a:off x="2987824" y="1916832"/>
                        <a:ext cx="547971"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20" name="Szövegdoboz 19"/>
                      <a:cNvSpPr txBox="1"/>
                    </a:nvSpPr>
                    <a:spPr>
                      <a:xfrm>
                        <a:off x="6156176" y="1916832"/>
                        <a:ext cx="588623" cy="338554"/>
                      </a:xfrm>
                      <a:prstGeom prst="rect">
                        <a:avLst/>
                      </a:prstGeom>
                      <a:noFill/>
                    </a:spPr>
                    <a:txSp>
                      <a:txBody>
                        <a:bodyPr wrap="non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21" name="Lekerekített téglalap 20"/>
                      <a:cNvSpPr/>
                    </a:nvSpPr>
                    <a:spPr>
                      <a:xfrm>
                        <a:off x="6804248" y="3356992"/>
                        <a:ext cx="1656184" cy="1152128"/>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nemfizetés kockázata bekerüléskor az </a:t>
                          </a:r>
                          <a:r>
                            <a:rPr lang="hu-HU" sz="1400" b="1" dirty="0" smtClean="0">
                              <a:solidFill>
                                <a:schemeClr val="tx1"/>
                              </a:solidFill>
                            </a:rPr>
                            <a:t>eredeti</a:t>
                          </a:r>
                          <a:r>
                            <a:rPr lang="hu-HU" sz="1400" dirty="0" smtClean="0">
                              <a:solidFill>
                                <a:schemeClr val="tx1"/>
                              </a:solidFill>
                            </a:rPr>
                            <a:t> feltételek alapján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Lekerekített téglalap 21"/>
                      <a:cNvSpPr/>
                    </a:nvSpPr>
                    <a:spPr>
                      <a:xfrm>
                        <a:off x="2915816" y="3356992"/>
                        <a:ext cx="1656184" cy="1152128"/>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nemfizetés kockázata bekerüléskor a </a:t>
                          </a:r>
                          <a:r>
                            <a:rPr lang="hu-HU" sz="1400" b="1" dirty="0" smtClean="0">
                              <a:solidFill>
                                <a:schemeClr val="tx1"/>
                              </a:solidFill>
                            </a:rPr>
                            <a:t>módosult</a:t>
                          </a:r>
                          <a:r>
                            <a:rPr lang="hu-HU" sz="1400" dirty="0" smtClean="0">
                              <a:solidFill>
                                <a:schemeClr val="tx1"/>
                              </a:solidFill>
                            </a:rPr>
                            <a:t> feltételek alapján</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Lekerekített téglalap 22"/>
                      <a:cNvSpPr/>
                    </a:nvSpPr>
                    <a:spPr>
                      <a:xfrm>
                        <a:off x="1115616" y="3356992"/>
                        <a:ext cx="1656184" cy="1152128"/>
                      </a:xfrm>
                      <a:prstGeom prst="roundRect">
                        <a:avLst/>
                      </a:prstGeom>
                      <a:solidFill>
                        <a:schemeClr val="bg1">
                          <a:lumMod val="75000"/>
                        </a:schemeClr>
                      </a:solidFill>
                      <a:ln>
                        <a:solidFill>
                          <a:schemeClr val="bg1">
                            <a:lumMod val="65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nemfizetés kockázata a fordulónapon a </a:t>
                          </a:r>
                          <a:r>
                            <a:rPr lang="hu-HU" sz="1400" b="1" dirty="0" smtClean="0">
                              <a:solidFill>
                                <a:schemeClr val="tx1"/>
                              </a:solidFill>
                            </a:rPr>
                            <a:t>módosult</a:t>
                          </a:r>
                          <a:r>
                            <a:rPr lang="hu-HU" sz="1400" dirty="0" smtClean="0">
                              <a:solidFill>
                                <a:schemeClr val="tx1"/>
                              </a:solidFill>
                            </a:rPr>
                            <a:t> feltételek alapján</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Egyenes összekötő nyíllal 48"/>
                      <a:cNvCxnSpPr>
                        <a:stCxn id="10" idx="2"/>
                      </a:cNvCxnSpPr>
                    </a:nvCxnSpPr>
                    <a:spPr>
                      <a:xfrm>
                        <a:off x="2843808" y="2852936"/>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5" name="Egyenes összekötő nyíllal 64"/>
                      <a:cNvCxnSpPr>
                        <a:stCxn id="11" idx="2"/>
                      </a:cNvCxnSpPr>
                    </a:nvCxnSpPr>
                    <a:spPr>
                      <a:xfrm>
                        <a:off x="6732240" y="2852936"/>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6" name="Szövegdoboz 65"/>
                      <a:cNvSpPr txBox="1"/>
                    </a:nvSpPr>
                    <a:spPr>
                      <a:xfrm>
                        <a:off x="2267744" y="4653136"/>
                        <a:ext cx="1296144"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Összevetése</a:t>
                          </a:r>
                          <a:endParaRPr lang="hu-HU" sz="1600" b="1" dirty="0"/>
                        </a:p>
                      </a:txBody>
                      <a:useSpRect/>
                    </a:txSp>
                  </a:sp>
                  <a:sp>
                    <a:nvSpPr>
                      <a:cNvPr id="67" name="Szövegdoboz 66"/>
                      <a:cNvSpPr txBox="1"/>
                    </a:nvSpPr>
                    <a:spPr>
                      <a:xfrm>
                        <a:off x="6156176" y="4653136"/>
                        <a:ext cx="1296144"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Összevetése</a:t>
                          </a:r>
                          <a:endParaRPr lang="hu-HU" sz="1600" b="1" dirty="0"/>
                        </a:p>
                      </a:txBody>
                      <a:useSpRect/>
                    </a:txSp>
                  </a:sp>
                  <a:cxnSp>
                    <a:nvCxnSpPr>
                      <a:cNvPr id="26" name="Egyenes összekötő 25"/>
                      <a:cNvCxnSpPr/>
                    </a:nvCxnSpPr>
                    <a:spPr>
                      <a:xfrm>
                        <a:off x="1043608" y="3284984"/>
                        <a:ext cx="0" cy="1872208"/>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29" name="Egyenes összekötő 28"/>
                      <a:cNvCxnSpPr/>
                    </a:nvCxnSpPr>
                    <a:spPr>
                      <a:xfrm>
                        <a:off x="1043608" y="3284984"/>
                        <a:ext cx="3600400"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0" name="Egyenes összekötő 29"/>
                      <a:cNvCxnSpPr/>
                    </a:nvCxnSpPr>
                    <a:spPr>
                      <a:xfrm>
                        <a:off x="1043608" y="5157192"/>
                        <a:ext cx="3600400"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1" name="Egyenes összekötő 30"/>
                      <a:cNvCxnSpPr/>
                    </a:nvCxnSpPr>
                    <a:spPr>
                      <a:xfrm>
                        <a:off x="4644008" y="3284984"/>
                        <a:ext cx="0" cy="1872208"/>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2" name="Egyenes összekötő 31"/>
                      <a:cNvCxnSpPr/>
                    </a:nvCxnSpPr>
                    <a:spPr>
                      <a:xfrm>
                        <a:off x="4932040" y="3284984"/>
                        <a:ext cx="0" cy="1872208"/>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3" name="Egyenes összekötő 32"/>
                      <a:cNvCxnSpPr/>
                    </a:nvCxnSpPr>
                    <a:spPr>
                      <a:xfrm>
                        <a:off x="4932040" y="5157192"/>
                        <a:ext cx="3600400"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4" name="Egyenes összekötő 33"/>
                      <a:cNvCxnSpPr/>
                    </a:nvCxnSpPr>
                    <a:spPr>
                      <a:xfrm>
                        <a:off x="4932040" y="3284984"/>
                        <a:ext cx="3600400" cy="0"/>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35" name="Egyenes összekötő 34"/>
                      <a:cNvCxnSpPr/>
                    </a:nvCxnSpPr>
                    <a:spPr>
                      <a:xfrm>
                        <a:off x="8532440" y="3284984"/>
                        <a:ext cx="0" cy="1872208"/>
                      </a:xfrm>
                      <a:prstGeom prst="line">
                        <a:avLst/>
                      </a:prstGeom>
                      <a:ln w="25400">
                        <a:solidFill>
                          <a:schemeClr val="tx1"/>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F0C9A" w:rsidRPr="00AC5D57" w:rsidRDefault="00FF0C9A" w:rsidP="00FF0C9A">
      <w:pPr>
        <w:autoSpaceDE w:val="0"/>
        <w:autoSpaceDN w:val="0"/>
        <w:adjustRightInd w:val="0"/>
        <w:spacing w:after="24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3C04A9">
        <w:rPr>
          <w:rFonts w:ascii="Times New Roman" w:hAnsi="Times New Roman" w:cs="Times New Roman"/>
          <w:sz w:val="20"/>
          <w:szCs w:val="20"/>
        </w:rPr>
        <w:t>http://www.kpmg.com/Global/en/IssuesAndInsights/ArticlesPublications/first-impressions/Documents/</w:t>
      </w:r>
      <w:r>
        <w:rPr>
          <w:rFonts w:ascii="Times New Roman" w:hAnsi="Times New Roman" w:cs="Times New Roman"/>
          <w:sz w:val="20"/>
          <w:szCs w:val="20"/>
        </w:rPr>
        <w:t xml:space="preserve"> </w:t>
      </w:r>
      <w:r w:rsidRPr="003C04A9">
        <w:rPr>
          <w:rFonts w:ascii="Times New Roman" w:hAnsi="Times New Roman" w:cs="Times New Roman"/>
          <w:sz w:val="20"/>
          <w:szCs w:val="20"/>
        </w:rPr>
        <w:t>first-impressions-IFRS9.pdf</w:t>
      </w:r>
      <w:r>
        <w:rPr>
          <w:rFonts w:ascii="Times New Roman" w:hAnsi="Times New Roman" w:cs="Times New Roman"/>
          <w:sz w:val="20"/>
          <w:szCs w:val="20"/>
        </w:rPr>
        <w:t>, 12.3.4.6.</w:t>
      </w:r>
    </w:p>
    <w:p w:rsidR="00FF0C9A"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pénzügyi eszközök egyes </w:t>
      </w:r>
      <w:r w:rsidRPr="00AC5D57">
        <w:rPr>
          <w:rFonts w:ascii="Times New Roman" w:hAnsi="Times New Roman" w:cs="Times New Roman"/>
          <w:b/>
          <w:sz w:val="24"/>
          <w:szCs w:val="24"/>
        </w:rPr>
        <w:t>átsorolásai</w:t>
      </w:r>
      <w:r w:rsidRPr="00AC5D57">
        <w:rPr>
          <w:rStyle w:val="Lbjegyzet-hivatkozs"/>
          <w:rFonts w:ascii="Times New Roman" w:hAnsi="Times New Roman" w:cs="Times New Roman"/>
          <w:sz w:val="24"/>
          <w:szCs w:val="24"/>
        </w:rPr>
        <w:footnoteReference w:id="17"/>
      </w:r>
      <w:r w:rsidRPr="00AC5D57">
        <w:rPr>
          <w:rFonts w:ascii="Times New Roman" w:hAnsi="Times New Roman" w:cs="Times New Roman"/>
          <w:sz w:val="24"/>
          <w:szCs w:val="24"/>
        </w:rPr>
        <w:t xml:space="preserve"> esetében </w:t>
      </w:r>
      <w:r>
        <w:rPr>
          <w:rFonts w:ascii="Times New Roman" w:hAnsi="Times New Roman" w:cs="Times New Roman"/>
          <w:sz w:val="24"/>
          <w:szCs w:val="24"/>
        </w:rPr>
        <w:tab/>
      </w:r>
      <w:r w:rsidRPr="00AC5D57">
        <w:rPr>
          <w:rFonts w:ascii="Times New Roman" w:hAnsi="Times New Roman" w:cs="Times New Roman"/>
          <w:sz w:val="24"/>
          <w:szCs w:val="24"/>
        </w:rPr>
        <w:t>a hitelezési kockázat szignifikáns megnövekedésének tényét az alábbi tábláz</w:t>
      </w:r>
      <w:r>
        <w:rPr>
          <w:rFonts w:ascii="Times New Roman" w:hAnsi="Times New Roman" w:cs="Times New Roman"/>
          <w:sz w:val="24"/>
          <w:szCs w:val="24"/>
        </w:rPr>
        <w:t>atok alapján kell megállapítani (4.</w:t>
      </w:r>
      <w:r w:rsidR="00D156B6">
        <w:rPr>
          <w:rFonts w:ascii="Times New Roman" w:hAnsi="Times New Roman" w:cs="Times New Roman"/>
          <w:sz w:val="24"/>
          <w:szCs w:val="24"/>
        </w:rPr>
        <w:t xml:space="preserve"> </w:t>
      </w:r>
      <w:r>
        <w:rPr>
          <w:rFonts w:ascii="Times New Roman" w:hAnsi="Times New Roman" w:cs="Times New Roman"/>
          <w:sz w:val="24"/>
          <w:szCs w:val="24"/>
        </w:rPr>
        <w:t>táblázat):</w:t>
      </w:r>
    </w:p>
    <w:p w:rsidR="00D156B6" w:rsidRDefault="00D156B6" w:rsidP="00FF0C9A">
      <w:pPr>
        <w:autoSpaceDE w:val="0"/>
        <w:autoSpaceDN w:val="0"/>
        <w:adjustRightInd w:val="0"/>
        <w:spacing w:after="120" w:line="360" w:lineRule="auto"/>
        <w:jc w:val="both"/>
        <w:rPr>
          <w:rFonts w:ascii="Times New Roman" w:hAnsi="Times New Roman" w:cs="Times New Roman"/>
          <w:sz w:val="24"/>
          <w:szCs w:val="24"/>
        </w:rPr>
      </w:pPr>
    </w:p>
    <w:p w:rsidR="00D156B6" w:rsidRDefault="00D156B6" w:rsidP="00FF0C9A">
      <w:pPr>
        <w:autoSpaceDE w:val="0"/>
        <w:autoSpaceDN w:val="0"/>
        <w:adjustRightInd w:val="0"/>
        <w:spacing w:after="120" w:line="360" w:lineRule="auto"/>
        <w:jc w:val="both"/>
        <w:rPr>
          <w:rFonts w:ascii="Times New Roman" w:hAnsi="Times New Roman" w:cs="Times New Roman"/>
          <w:sz w:val="24"/>
          <w:szCs w:val="24"/>
        </w:rPr>
      </w:pPr>
    </w:p>
    <w:p w:rsidR="00D156B6" w:rsidRDefault="00D156B6" w:rsidP="00FF0C9A">
      <w:pPr>
        <w:autoSpaceDE w:val="0"/>
        <w:autoSpaceDN w:val="0"/>
        <w:adjustRightInd w:val="0"/>
        <w:spacing w:after="120" w:line="360" w:lineRule="auto"/>
        <w:jc w:val="both"/>
        <w:rPr>
          <w:rFonts w:ascii="Times New Roman" w:hAnsi="Times New Roman" w:cs="Times New Roman"/>
          <w:sz w:val="24"/>
          <w:szCs w:val="24"/>
        </w:rPr>
      </w:pPr>
    </w:p>
    <w:p w:rsidR="00D156B6" w:rsidRPr="00AC5D57" w:rsidRDefault="00D156B6" w:rsidP="00FF0C9A">
      <w:pPr>
        <w:autoSpaceDE w:val="0"/>
        <w:autoSpaceDN w:val="0"/>
        <w:adjustRightInd w:val="0"/>
        <w:spacing w:after="120" w:line="360" w:lineRule="auto"/>
        <w:jc w:val="both"/>
        <w:rPr>
          <w:rFonts w:ascii="Times New Roman" w:hAnsi="Times New Roman" w:cs="Times New Roman"/>
          <w:sz w:val="24"/>
          <w:szCs w:val="24"/>
        </w:rPr>
      </w:pPr>
    </w:p>
    <w:tbl>
      <w:tblPr>
        <w:tblW w:w="9356" w:type="dxa"/>
        <w:tblInd w:w="108" w:type="dxa"/>
        <w:tblLook w:val="04A0"/>
      </w:tblPr>
      <w:tblGrid>
        <w:gridCol w:w="3969"/>
        <w:gridCol w:w="5387"/>
      </w:tblGrid>
      <w:tr w:rsidR="00FF0C9A" w:rsidRPr="00AC5D57" w:rsidTr="00FF0C9A">
        <w:tc>
          <w:tcPr>
            <w:tcW w:w="3969" w:type="dxa"/>
          </w:tcPr>
          <w:p w:rsidR="00FF0C9A" w:rsidRPr="00AC5D57"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AC5D57">
              <w:rPr>
                <w:rFonts w:ascii="Times New Roman" w:hAnsi="Times New Roman" w:cs="Times New Roman"/>
                <w:sz w:val="24"/>
                <w:szCs w:val="24"/>
              </w:rPr>
              <w:t>Az átsorolás típusa</w:t>
            </w:r>
          </w:p>
        </w:tc>
        <w:tc>
          <w:tcPr>
            <w:tcW w:w="5387" w:type="dxa"/>
          </w:tcPr>
          <w:p w:rsidR="00FF0C9A" w:rsidRPr="00AC5D57" w:rsidRDefault="00FF0C9A" w:rsidP="00FF0C9A">
            <w:pPr>
              <w:pStyle w:val="Listaszerbekezds"/>
              <w:autoSpaceDE w:val="0"/>
              <w:autoSpaceDN w:val="0"/>
              <w:adjustRightInd w:val="0"/>
              <w:spacing w:after="120" w:line="360" w:lineRule="auto"/>
              <w:ind w:left="0"/>
              <w:jc w:val="center"/>
              <w:rPr>
                <w:rFonts w:ascii="Times New Roman" w:hAnsi="Times New Roman" w:cs="Times New Roman"/>
                <w:sz w:val="24"/>
                <w:szCs w:val="24"/>
              </w:rPr>
            </w:pPr>
            <w:r w:rsidRPr="00AC5D57">
              <w:rPr>
                <w:rFonts w:ascii="Times New Roman" w:hAnsi="Times New Roman" w:cs="Times New Roman"/>
                <w:sz w:val="24"/>
                <w:szCs w:val="24"/>
              </w:rPr>
              <w:t>Hitelezési kockázatban jelentős növekedés mérése</w:t>
            </w:r>
          </w:p>
        </w:tc>
      </w:tr>
      <w:tr w:rsidR="00FF0C9A" w:rsidRPr="00AC5D57" w:rsidTr="00FF0C9A">
        <w:trPr>
          <w:trHeight w:val="2297"/>
        </w:trPr>
        <w:tc>
          <w:tcPr>
            <w:tcW w:w="3969" w:type="dxa"/>
          </w:tcPr>
          <w:p w:rsidR="00FF0C9A" w:rsidRPr="00AC5D57" w:rsidRDefault="001A3C06" w:rsidP="00FF0C9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hu-HU"/>
              </w:rPr>
              <w:pict>
                <v:shapetype id="_x0000_t32" coordsize="21600,21600" o:spt="32" o:oned="t" path="m,l21600,21600e" filled="f">
                  <v:path arrowok="t" fillok="f" o:connecttype="none"/>
                  <o:lock v:ext="edit" shapetype="t"/>
                </v:shapetype>
                <v:shape id="_x0000_s1030" type="#_x0000_t32" style="position:absolute;left:0;text-align:left;margin-left:71.8pt;margin-top:28.8pt;width:39pt;height:0;z-index:251649024;mso-position-horizontal-relative:text;mso-position-vertical-relative:text" o:connectortype="straight" strokecolor="black [3213]" strokeweight="2pt">
                  <v:stroke endarrow="block"/>
                  <v:shadow type="perspective" color="#243f60 [1604]" opacity=".5" offset="1pt" offset2="-1pt"/>
                </v:shape>
              </w:pict>
            </w:r>
            <w:r>
              <w:rPr>
                <w:rFonts w:ascii="Times New Roman" w:hAnsi="Times New Roman" w:cs="Times New Roman"/>
                <w:noProof/>
                <w:sz w:val="24"/>
                <w:szCs w:val="24"/>
                <w:lang w:eastAsia="hu-HU"/>
              </w:rPr>
              <w:pict>
                <v:shape id="_x0000_s1031" type="#_x0000_t32" style="position:absolute;left:0;text-align:left;margin-left:72.55pt;margin-top:83.55pt;width:39pt;height:0;z-index:251650048;mso-position-horizontal-relative:text;mso-position-vertical-relative:text" o:connectortype="straight" strokecolor="black [3213]" strokeweight="2pt">
                  <v:stroke endarrow="block"/>
                  <v:shadow type="perspective" color="#243f60 [1604]" opacity=".5" offset="1pt" offset2="-1pt"/>
                </v:shape>
              </w:pict>
            </w:r>
            <w:r>
              <w:rPr>
                <w:rFonts w:ascii="Times New Roman" w:hAnsi="Times New Roman" w:cs="Times New Roman"/>
                <w:noProof/>
                <w:sz w:val="24"/>
                <w:szCs w:val="24"/>
                <w:lang w:eastAsia="hu-HU"/>
              </w:rPr>
              <w:pict>
                <v:roundrect id="_x0000_s1029" style="position:absolute;left:0;text-align:left;margin-left:111.55pt;margin-top:70.8pt;width:72.75pt;height:28.5pt;z-index:251651072;mso-position-horizontal-relative:text;mso-position-vertical-relative:text" arcsize="10923f" fillcolor="#b8cce4 [1300]" strokecolor="#95b3d7 [1940]" strokeweight="2pt">
                  <v:shadow type="perspective" color="#243f60 [1604]" opacity=".5" offset="1pt" offset2="-1pt"/>
                  <v:textbox style="mso-next-textbox:#_x0000_s1029">
                    <w:txbxContent>
                      <w:p w:rsidR="00524E9A" w:rsidRPr="00AA3995" w:rsidRDefault="00524E9A" w:rsidP="00FF0C9A">
                        <w:pPr>
                          <w:jc w:val="center"/>
                          <w:cnfStyle w:val="001000100000"/>
                          <w:rPr>
                            <w:sz w:val="28"/>
                            <w:szCs w:val="28"/>
                          </w:rPr>
                        </w:pPr>
                        <w:r>
                          <w:rPr>
                            <w:b/>
                            <w:sz w:val="28"/>
                            <w:szCs w:val="28"/>
                          </w:rPr>
                          <w:t>FVTOCI</w:t>
                        </w:r>
                      </w:p>
                    </w:txbxContent>
                  </v:textbox>
                </v:roundrect>
              </w:pict>
            </w:r>
            <w:r>
              <w:rPr>
                <w:rFonts w:ascii="Times New Roman" w:hAnsi="Times New Roman" w:cs="Times New Roman"/>
                <w:noProof/>
                <w:sz w:val="24"/>
                <w:szCs w:val="24"/>
                <w:lang w:eastAsia="hu-HU"/>
              </w:rPr>
              <w:pict>
                <v:roundrect id="_x0000_s1028" style="position:absolute;left:0;text-align:left;margin-left:.55pt;margin-top:70.8pt;width:1in;height:28.5pt;z-index:251652096;mso-position-horizontal-relative:text;mso-position-vertical-relative:text" arcsize="10923f" fillcolor="#bfbfbf [2412]" strokecolor="#7f7f7f [1612]" strokeweight="2pt">
                  <v:shadow type="perspective" color="#243f60 [1604]" opacity=".5" offset="1pt" offset2="-1pt"/>
                  <v:textbox style="mso-next-textbox:#_x0000_s1028">
                    <w:txbxContent>
                      <w:p w:rsidR="00524E9A" w:rsidRPr="00AA3995" w:rsidRDefault="00524E9A" w:rsidP="00FF0C9A">
                        <w:pPr>
                          <w:jc w:val="center"/>
                          <w:cnfStyle w:val="001000100000"/>
                          <w:rPr>
                            <w:sz w:val="28"/>
                            <w:szCs w:val="28"/>
                          </w:rPr>
                        </w:pPr>
                        <w:r w:rsidRPr="00AA3995">
                          <w:rPr>
                            <w:b/>
                            <w:sz w:val="28"/>
                            <w:szCs w:val="28"/>
                          </w:rPr>
                          <w:t>FVTPL</w:t>
                        </w:r>
                      </w:p>
                    </w:txbxContent>
                  </v:textbox>
                </v:roundrect>
              </w:pict>
            </w:r>
            <w:r>
              <w:rPr>
                <w:rFonts w:ascii="Times New Roman" w:hAnsi="Times New Roman" w:cs="Times New Roman"/>
                <w:noProof/>
                <w:sz w:val="24"/>
                <w:szCs w:val="24"/>
                <w:lang w:eastAsia="hu-HU"/>
              </w:rPr>
              <w:pict>
                <v:roundrect id="_x0000_s1027" style="position:absolute;left:0;text-align:left;margin-left:110.8pt;margin-top:13.8pt;width:72.75pt;height:28.5pt;z-index:251653120;mso-position-horizontal-relative:text;mso-position-vertical-relative:text" arcsize="10923f" fillcolor="#4f81bd [3204]" strokecolor="#365f91 [2404]" strokeweight="2pt">
                  <v:shadow type="perspective" color="#243f60 [1604]" opacity=".5" offset="1pt" offset2="-1pt"/>
                  <v:textbox style="mso-next-textbox:#_x0000_s1027">
                    <w:txbxContent>
                      <w:p w:rsidR="00524E9A" w:rsidRPr="00AA3995" w:rsidRDefault="00524E9A" w:rsidP="00FF0C9A">
                        <w:pPr>
                          <w:jc w:val="center"/>
                          <w:cnfStyle w:val="001000100000"/>
                          <w:rPr>
                            <w:sz w:val="28"/>
                            <w:szCs w:val="28"/>
                          </w:rPr>
                        </w:pPr>
                        <w:r>
                          <w:rPr>
                            <w:b/>
                            <w:sz w:val="24"/>
                            <w:szCs w:val="24"/>
                          </w:rPr>
                          <w:t>Amortizált</w:t>
                        </w:r>
                      </w:p>
                    </w:txbxContent>
                  </v:textbox>
                </v:roundrect>
              </w:pict>
            </w:r>
            <w:r>
              <w:rPr>
                <w:rFonts w:ascii="Times New Roman" w:hAnsi="Times New Roman" w:cs="Times New Roman"/>
                <w:noProof/>
                <w:sz w:val="24"/>
                <w:szCs w:val="24"/>
                <w:lang w:eastAsia="hu-HU"/>
              </w:rPr>
              <w:pict>
                <v:roundrect id="_x0000_s1026" style="position:absolute;left:0;text-align:left;margin-left:-1.1pt;margin-top:13.8pt;width:1in;height:28.5pt;z-index:251654144;mso-position-horizontal-relative:text;mso-position-vertical-relative:text" arcsize="10923f" fillcolor="#bfbfbf [2412]" strokecolor="#7f7f7f [1612]" strokeweight="2pt">
                  <v:shadow type="perspective" color="#243f60 [1604]" opacity=".5" offset="1pt" offset2="-1pt"/>
                  <v:textbox style="mso-next-textbox:#_x0000_s1026">
                    <w:txbxContent>
                      <w:p w:rsidR="00524E9A" w:rsidRPr="00AA3995" w:rsidRDefault="00524E9A" w:rsidP="00FF0C9A">
                        <w:pPr>
                          <w:jc w:val="center"/>
                          <w:cnfStyle w:val="001000100000"/>
                          <w:rPr>
                            <w:sz w:val="28"/>
                            <w:szCs w:val="28"/>
                          </w:rPr>
                        </w:pPr>
                        <w:r w:rsidRPr="00AA3995">
                          <w:rPr>
                            <w:b/>
                            <w:sz w:val="28"/>
                            <w:szCs w:val="28"/>
                          </w:rPr>
                          <w:t>FVTPL</w:t>
                        </w:r>
                      </w:p>
                    </w:txbxContent>
                  </v:textbox>
                </v:roundrect>
              </w:pict>
            </w:r>
          </w:p>
        </w:tc>
        <w:tc>
          <w:tcPr>
            <w:tcW w:w="5387" w:type="dxa"/>
          </w:tcPr>
          <w:p w:rsidR="00FF0C9A" w:rsidRPr="00AC5D57" w:rsidRDefault="00FF0C9A" w:rsidP="00FF0C9A">
            <w:pPr>
              <w:autoSpaceDE w:val="0"/>
              <w:autoSpaceDN w:val="0"/>
              <w:adjustRightInd w:val="0"/>
              <w:spacing w:after="120" w:line="360" w:lineRule="auto"/>
              <w:jc w:val="center"/>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AC5D57">
              <w:rPr>
                <w:rFonts w:ascii="Times New Roman" w:hAnsi="Times New Roman" w:cs="Times New Roman"/>
                <w:sz w:val="24"/>
                <w:szCs w:val="24"/>
              </w:rPr>
              <w:t>A fordulónapi és az átsorolás napi hitelezési kockázat összevetése.</w:t>
            </w:r>
          </w:p>
        </w:tc>
      </w:tr>
      <w:tr w:rsidR="00FF0C9A" w:rsidRPr="00AC5D57" w:rsidTr="00FF0C9A">
        <w:trPr>
          <w:trHeight w:val="2247"/>
        </w:trPr>
        <w:tc>
          <w:tcPr>
            <w:tcW w:w="3969" w:type="dxa"/>
          </w:tcPr>
          <w:p w:rsidR="00FF0C9A" w:rsidRPr="00AC5D57" w:rsidRDefault="001A3C06" w:rsidP="00FF0C9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hu-HU"/>
              </w:rPr>
              <w:pict>
                <v:shape id="_x0000_s1036" type="#_x0000_t32" style="position:absolute;left:0;text-align:left;margin-left:72.55pt;margin-top:86.55pt;width:39pt;height:0;z-index:251655168;mso-position-horizontal-relative:text;mso-position-vertical-relative:text" o:connectortype="straight" strokecolor="black [3213]" strokeweight="2pt">
                  <v:stroke endarrow="block"/>
                  <v:shadow type="perspective" color="#243f60 [1604]" opacity=".5" offset="1pt" offset2="-1pt"/>
                </v:shape>
              </w:pict>
            </w:r>
            <w:r>
              <w:rPr>
                <w:rFonts w:ascii="Times New Roman" w:hAnsi="Times New Roman" w:cs="Times New Roman"/>
                <w:noProof/>
                <w:sz w:val="24"/>
                <w:szCs w:val="24"/>
                <w:lang w:eastAsia="hu-HU"/>
              </w:rPr>
              <w:pict>
                <v:roundrect id="_x0000_s1035" style="position:absolute;left:0;text-align:left;margin-left:111.55pt;margin-top:70.9pt;width:72.75pt;height:28.5pt;z-index:251656192;mso-position-horizontal-relative:text;mso-position-vertical-relative:text" arcsize="10923f" fillcolor="#4f81bd [3204]" strokecolor="#365f91 [2404]" strokeweight="2pt">
                  <v:shadow type="perspective" color="#243f60 [1604]" opacity=".5" offset="1pt" offset2="-1pt"/>
                  <v:textbox style="mso-next-textbox:#_x0000_s1035">
                    <w:txbxContent>
                      <w:p w:rsidR="00524E9A" w:rsidRPr="008A4E22" w:rsidRDefault="00524E9A" w:rsidP="00FF0C9A">
                        <w:pPr>
                          <w:jc w:val="center"/>
                          <w:cnfStyle w:val="001000100000"/>
                          <w:rPr>
                            <w:sz w:val="24"/>
                            <w:szCs w:val="24"/>
                          </w:rPr>
                        </w:pPr>
                        <w:r>
                          <w:rPr>
                            <w:b/>
                            <w:sz w:val="24"/>
                            <w:szCs w:val="24"/>
                          </w:rPr>
                          <w:t>Amortizált</w:t>
                        </w:r>
                      </w:p>
                    </w:txbxContent>
                  </v:textbox>
                </v:roundrect>
              </w:pict>
            </w:r>
            <w:r>
              <w:rPr>
                <w:rFonts w:ascii="Times New Roman" w:hAnsi="Times New Roman" w:cs="Times New Roman"/>
                <w:noProof/>
                <w:sz w:val="24"/>
                <w:szCs w:val="24"/>
                <w:lang w:eastAsia="hu-HU"/>
              </w:rPr>
              <w:pict>
                <v:roundrect id="_x0000_s1034" style="position:absolute;left:0;text-align:left;margin-left:.55pt;margin-top:70.9pt;width:1in;height:28.5pt;z-index:251657216;mso-position-horizontal-relative:text;mso-position-vertical-relative:text" arcsize="10923f" fillcolor="#b8cce4 [1300]" strokecolor="#95b3d7 [1940]" strokeweight="2pt">
                  <v:shadow type="perspective" color="#243f60 [1604]" opacity=".5" offset="1pt" offset2="-1pt"/>
                  <v:textbox style="mso-next-textbox:#_x0000_s1034">
                    <w:txbxContent>
                      <w:p w:rsidR="00524E9A" w:rsidRPr="00AA3995" w:rsidRDefault="00524E9A" w:rsidP="00FF0C9A">
                        <w:pPr>
                          <w:jc w:val="center"/>
                          <w:cnfStyle w:val="001000100000"/>
                          <w:rPr>
                            <w:sz w:val="28"/>
                            <w:szCs w:val="28"/>
                          </w:rPr>
                        </w:pPr>
                        <w:r>
                          <w:rPr>
                            <w:b/>
                            <w:sz w:val="28"/>
                            <w:szCs w:val="28"/>
                          </w:rPr>
                          <w:t>FVTOCI</w:t>
                        </w:r>
                      </w:p>
                    </w:txbxContent>
                  </v:textbox>
                </v:roundrect>
              </w:pict>
            </w:r>
            <w:r>
              <w:rPr>
                <w:rFonts w:ascii="Times New Roman" w:hAnsi="Times New Roman" w:cs="Times New Roman"/>
                <w:noProof/>
                <w:sz w:val="24"/>
                <w:szCs w:val="24"/>
                <w:lang w:eastAsia="hu-HU"/>
              </w:rPr>
              <w:pict>
                <v:shape id="_x0000_s1037" type="#_x0000_t32" style="position:absolute;left:0;text-align:left;margin-left:72.55pt;margin-top:27.4pt;width:39pt;height:0;z-index:251658240;mso-position-horizontal-relative:text;mso-position-vertical-relative:text" o:connectortype="straight" strokecolor="black [3213]" strokeweight="2pt">
                  <v:stroke endarrow="block"/>
                  <v:shadow type="perspective" color="#243f60 [1604]" opacity=".5" offset="1pt" offset2="-1pt"/>
                </v:shape>
              </w:pict>
            </w:r>
            <w:r>
              <w:rPr>
                <w:rFonts w:ascii="Times New Roman" w:hAnsi="Times New Roman" w:cs="Times New Roman"/>
                <w:noProof/>
                <w:sz w:val="24"/>
                <w:szCs w:val="24"/>
                <w:lang w:eastAsia="hu-HU"/>
              </w:rPr>
              <w:pict>
                <v:roundrect id="_x0000_s1033" style="position:absolute;left:0;text-align:left;margin-left:110.8pt;margin-top:13.8pt;width:72.75pt;height:28.5pt;z-index:251659264;mso-position-horizontal-relative:text;mso-position-vertical-relative:text" arcsize="10923f" fillcolor="#b8cce4 [1300]" strokecolor="#95b3d7 [1940]" strokeweight="2pt">
                  <v:shadow type="perspective" color="#243f60 [1604]" opacity=".5" offset="1pt" offset2="-1pt"/>
                  <v:textbox style="mso-next-textbox:#_x0000_s1033">
                    <w:txbxContent>
                      <w:p w:rsidR="00524E9A" w:rsidRPr="008A4E22" w:rsidRDefault="00524E9A" w:rsidP="00FF0C9A">
                        <w:pPr>
                          <w:jc w:val="center"/>
                          <w:cnfStyle w:val="001000100000"/>
                          <w:rPr>
                            <w:sz w:val="28"/>
                            <w:szCs w:val="28"/>
                          </w:rPr>
                        </w:pPr>
                        <w:r w:rsidRPr="008A4E22">
                          <w:rPr>
                            <w:b/>
                            <w:sz w:val="28"/>
                            <w:szCs w:val="28"/>
                          </w:rPr>
                          <w:t>FVTOCI</w:t>
                        </w:r>
                      </w:p>
                    </w:txbxContent>
                  </v:textbox>
                </v:roundrect>
              </w:pict>
            </w:r>
            <w:r>
              <w:rPr>
                <w:rFonts w:ascii="Times New Roman" w:hAnsi="Times New Roman" w:cs="Times New Roman"/>
                <w:noProof/>
                <w:sz w:val="24"/>
                <w:szCs w:val="24"/>
                <w:lang w:eastAsia="hu-HU"/>
              </w:rPr>
              <w:pict>
                <v:roundrect id="_x0000_s1032" style="position:absolute;left:0;text-align:left;margin-left:-.2pt;margin-top:13.8pt;width:1in;height:28.5pt;z-index:251660288;mso-position-horizontal-relative:text;mso-position-vertical-relative:text" arcsize="10923f" fillcolor="#4f81bd [3204]" strokecolor="#365f91 [2404]" strokeweight="2pt">
                  <v:shadow type="perspective" color="#243f60 [1604]" opacity=".5" offset="1pt" offset2="-1pt"/>
                  <v:textbox style="mso-next-textbox:#_x0000_s1032">
                    <w:txbxContent>
                      <w:p w:rsidR="00524E9A" w:rsidRPr="008A4E22" w:rsidRDefault="00524E9A" w:rsidP="00FF0C9A">
                        <w:pPr>
                          <w:jc w:val="center"/>
                          <w:cnfStyle w:val="001000100000"/>
                          <w:rPr>
                            <w:sz w:val="24"/>
                            <w:szCs w:val="24"/>
                          </w:rPr>
                        </w:pPr>
                        <w:r>
                          <w:rPr>
                            <w:b/>
                            <w:sz w:val="24"/>
                            <w:szCs w:val="24"/>
                          </w:rPr>
                          <w:t>Amortizált</w:t>
                        </w:r>
                      </w:p>
                    </w:txbxContent>
                  </v:textbox>
                </v:roundrect>
              </w:pict>
            </w:r>
          </w:p>
        </w:tc>
        <w:tc>
          <w:tcPr>
            <w:tcW w:w="5387" w:type="dxa"/>
          </w:tcPr>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AC5D57">
              <w:rPr>
                <w:rFonts w:ascii="Times New Roman" w:hAnsi="Times New Roman" w:cs="Times New Roman"/>
                <w:sz w:val="24"/>
                <w:szCs w:val="24"/>
              </w:rPr>
              <w:t xml:space="preserve">A fordulónapi és a </w:t>
            </w:r>
            <w:proofErr w:type="spellStart"/>
            <w:r w:rsidRPr="00AC5D57">
              <w:rPr>
                <w:rFonts w:ascii="Times New Roman" w:hAnsi="Times New Roman" w:cs="Times New Roman"/>
                <w:sz w:val="24"/>
                <w:szCs w:val="24"/>
              </w:rPr>
              <w:t>bekerüléskori</w:t>
            </w:r>
            <w:proofErr w:type="spellEnd"/>
            <w:r w:rsidRPr="00AC5D57">
              <w:rPr>
                <w:rFonts w:ascii="Times New Roman" w:hAnsi="Times New Roman" w:cs="Times New Roman"/>
                <w:sz w:val="24"/>
                <w:szCs w:val="24"/>
              </w:rPr>
              <w:t xml:space="preserve"> hitelezési kockázat összevetése.</w:t>
            </w:r>
          </w:p>
        </w:tc>
      </w:tr>
      <w:tr w:rsidR="00FF0C9A" w:rsidRPr="00AC5D57" w:rsidTr="00FF0C9A">
        <w:trPr>
          <w:trHeight w:val="2253"/>
        </w:trPr>
        <w:tc>
          <w:tcPr>
            <w:tcW w:w="3969" w:type="dxa"/>
          </w:tcPr>
          <w:p w:rsidR="00FF0C9A" w:rsidRPr="00AC5D57" w:rsidRDefault="001A3C06" w:rsidP="00FF0C9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hu-HU"/>
              </w:rPr>
              <w:pict>
                <v:roundrect id="_x0000_s1041" style="position:absolute;left:0;text-align:left;margin-left:110.05pt;margin-top:71.25pt;width:72.75pt;height:28.5pt;z-index:251661312;mso-position-horizontal-relative:text;mso-position-vertical-relative:text" arcsize="10923f" fillcolor="#bfbfbf [2412]" strokecolor="#7f7f7f [1612]" strokeweight="2pt">
                  <v:shadow type="perspective" color="#243f60 [1604]" opacity=".5" offset="1pt" offset2="-1pt"/>
                  <v:textbox style="mso-next-textbox:#_x0000_s1041">
                    <w:txbxContent>
                      <w:p w:rsidR="00524E9A" w:rsidRPr="00AA3995" w:rsidRDefault="00524E9A" w:rsidP="00FF0C9A">
                        <w:pPr>
                          <w:jc w:val="center"/>
                          <w:cnfStyle w:val="001000100000"/>
                          <w:rPr>
                            <w:sz w:val="28"/>
                            <w:szCs w:val="28"/>
                          </w:rPr>
                        </w:pPr>
                        <w:r w:rsidRPr="00AA3995">
                          <w:rPr>
                            <w:b/>
                            <w:sz w:val="28"/>
                            <w:szCs w:val="28"/>
                          </w:rPr>
                          <w:t>FVTPL</w:t>
                        </w:r>
                      </w:p>
                    </w:txbxContent>
                  </v:textbox>
                </v:roundrect>
              </w:pict>
            </w:r>
            <w:r>
              <w:rPr>
                <w:rFonts w:ascii="Times New Roman" w:hAnsi="Times New Roman" w:cs="Times New Roman"/>
                <w:noProof/>
                <w:sz w:val="24"/>
                <w:szCs w:val="24"/>
                <w:lang w:eastAsia="hu-HU"/>
              </w:rPr>
              <w:pict>
                <v:shape id="_x0000_s1042" type="#_x0000_t32" style="position:absolute;left:0;text-align:left;margin-left:71.8pt;margin-top:84.9pt;width:39pt;height:0;z-index:251662336;mso-position-horizontal-relative:text;mso-position-vertical-relative:text" o:connectortype="straight" strokecolor="black [3213]" strokeweight="2pt">
                  <v:stroke endarrow="block"/>
                  <v:shadow type="perspective" color="#243f60 [1604]" opacity=".5" offset="1pt" offset2="-1pt"/>
                </v:shape>
              </w:pict>
            </w:r>
            <w:r>
              <w:rPr>
                <w:rFonts w:ascii="Times New Roman" w:hAnsi="Times New Roman" w:cs="Times New Roman"/>
                <w:noProof/>
                <w:sz w:val="24"/>
                <w:szCs w:val="24"/>
                <w:lang w:eastAsia="hu-HU"/>
              </w:rPr>
              <w:pict>
                <v:roundrect id="_x0000_s1040" style="position:absolute;left:0;text-align:left;margin-left:-1.1pt;margin-top:71.25pt;width:1in;height:28.5pt;z-index:251663360;mso-position-horizontal-relative:text;mso-position-vertical-relative:text" arcsize="10923f" fillcolor="#b8cce4 [1300]" strokecolor="#95b3d7 [1940]" strokeweight="2pt">
                  <v:shadow type="perspective" color="#243f60 [1604]" opacity=".5" offset="1pt" offset2="-1pt"/>
                  <v:textbox style="mso-next-textbox:#_x0000_s1040">
                    <w:txbxContent>
                      <w:p w:rsidR="00524E9A" w:rsidRPr="00AA3995" w:rsidRDefault="00524E9A" w:rsidP="00FF0C9A">
                        <w:pPr>
                          <w:jc w:val="center"/>
                          <w:cnfStyle w:val="001000100000"/>
                          <w:rPr>
                            <w:sz w:val="28"/>
                            <w:szCs w:val="28"/>
                          </w:rPr>
                        </w:pPr>
                        <w:r>
                          <w:rPr>
                            <w:b/>
                            <w:sz w:val="28"/>
                            <w:szCs w:val="28"/>
                          </w:rPr>
                          <w:t>FVTOCI</w:t>
                        </w:r>
                      </w:p>
                    </w:txbxContent>
                  </v:textbox>
                </v:roundrect>
              </w:pict>
            </w:r>
            <w:r>
              <w:rPr>
                <w:rFonts w:ascii="Times New Roman" w:hAnsi="Times New Roman" w:cs="Times New Roman"/>
                <w:noProof/>
                <w:sz w:val="24"/>
                <w:szCs w:val="24"/>
                <w:lang w:eastAsia="hu-HU"/>
              </w:rPr>
              <w:pict>
                <v:shape id="_x0000_s1043" type="#_x0000_t32" style="position:absolute;left:0;text-align:left;margin-left:72.55pt;margin-top:28.25pt;width:39pt;height:0;z-index:251664384;mso-position-horizontal-relative:text;mso-position-vertical-relative:text" o:connectortype="straight" strokecolor="black [3213]" strokeweight="2pt">
                  <v:stroke endarrow="block"/>
                  <v:shadow type="perspective" color="#243f60 [1604]" opacity=".5" offset="1pt" offset2="-1pt"/>
                </v:shape>
              </w:pict>
            </w:r>
            <w:r>
              <w:rPr>
                <w:rFonts w:ascii="Times New Roman" w:hAnsi="Times New Roman" w:cs="Times New Roman"/>
                <w:noProof/>
                <w:sz w:val="24"/>
                <w:szCs w:val="24"/>
                <w:lang w:eastAsia="hu-HU"/>
              </w:rPr>
              <w:pict>
                <v:roundrect id="_x0000_s1038" style="position:absolute;left:0;text-align:left;margin-left:110.8pt;margin-top:13.8pt;width:1in;height:28.5pt;z-index:251665408;mso-position-horizontal-relative:text;mso-position-vertical-relative:text" arcsize="10923f" fillcolor="#bfbfbf [2412]" strokecolor="#7f7f7f [1612]" strokeweight="2pt">
                  <v:shadow type="perspective" color="#243f60 [1604]" opacity=".5" offset="1pt" offset2="-1pt"/>
                  <v:textbox style="mso-next-textbox:#_x0000_s1038">
                    <w:txbxContent>
                      <w:p w:rsidR="00524E9A" w:rsidRPr="00AA3995" w:rsidRDefault="00524E9A" w:rsidP="00FF0C9A">
                        <w:pPr>
                          <w:jc w:val="center"/>
                          <w:cnfStyle w:val="001000100000"/>
                          <w:rPr>
                            <w:sz w:val="28"/>
                            <w:szCs w:val="28"/>
                          </w:rPr>
                        </w:pPr>
                        <w:r w:rsidRPr="00AA3995">
                          <w:rPr>
                            <w:b/>
                            <w:sz w:val="28"/>
                            <w:szCs w:val="28"/>
                          </w:rPr>
                          <w:t>FVTPL</w:t>
                        </w:r>
                      </w:p>
                    </w:txbxContent>
                  </v:textbox>
                </v:roundrect>
              </w:pict>
            </w:r>
            <w:r>
              <w:rPr>
                <w:rFonts w:ascii="Times New Roman" w:hAnsi="Times New Roman" w:cs="Times New Roman"/>
                <w:noProof/>
                <w:sz w:val="24"/>
                <w:szCs w:val="24"/>
                <w:lang w:eastAsia="hu-HU"/>
              </w:rPr>
              <w:pict>
                <v:roundrect id="_x0000_s1039" style="position:absolute;left:0;text-align:left;margin-left:-.2pt;margin-top:13.8pt;width:72.75pt;height:28.5pt;z-index:251666432;mso-position-horizontal-relative:text;mso-position-vertical-relative:text" arcsize="10923f" fillcolor="#4f81bd [3204]" strokecolor="#365f91 [2404]" strokeweight="2pt">
                  <v:shadow type="perspective" color="#243f60 [1604]" opacity=".5" offset="1pt" offset2="-1pt"/>
                  <v:textbox style="mso-next-textbox:#_x0000_s1039">
                    <w:txbxContent>
                      <w:p w:rsidR="00524E9A" w:rsidRPr="00AA3995" w:rsidRDefault="00524E9A" w:rsidP="00FF0C9A">
                        <w:pPr>
                          <w:jc w:val="center"/>
                          <w:cnfStyle w:val="001000100000"/>
                          <w:rPr>
                            <w:sz w:val="28"/>
                            <w:szCs w:val="28"/>
                          </w:rPr>
                        </w:pPr>
                        <w:r>
                          <w:rPr>
                            <w:b/>
                            <w:sz w:val="24"/>
                            <w:szCs w:val="24"/>
                          </w:rPr>
                          <w:t>Amortizált</w:t>
                        </w:r>
                      </w:p>
                    </w:txbxContent>
                  </v:textbox>
                </v:roundrect>
              </w:pict>
            </w:r>
          </w:p>
        </w:tc>
        <w:tc>
          <w:tcPr>
            <w:tcW w:w="5387" w:type="dxa"/>
          </w:tcPr>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center"/>
              <w:rPr>
                <w:rFonts w:ascii="Times New Roman" w:hAnsi="Times New Roman" w:cs="Times New Roman"/>
                <w:sz w:val="24"/>
                <w:szCs w:val="24"/>
              </w:rPr>
            </w:pPr>
            <w:r w:rsidRPr="00AC5D57">
              <w:rPr>
                <w:rFonts w:ascii="Times New Roman" w:hAnsi="Times New Roman" w:cs="Times New Roman"/>
                <w:sz w:val="24"/>
                <w:szCs w:val="24"/>
              </w:rPr>
              <w:t>Nem értelmezhető, az FVTPL módon értékelt eszközök esetében nem beszélhetünk értékvesztésről.</w:t>
            </w:r>
          </w:p>
        </w:tc>
      </w:tr>
    </w:tbl>
    <w:p w:rsidR="00FF0C9A" w:rsidRPr="00AC5D57" w:rsidRDefault="00FF0C9A" w:rsidP="00FF0C9A">
      <w:pPr>
        <w:autoSpaceDE w:val="0"/>
        <w:autoSpaceDN w:val="0"/>
        <w:adjustRightInd w:val="0"/>
        <w:spacing w:before="120" w:after="24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3C04A9">
        <w:rPr>
          <w:rFonts w:ascii="Times New Roman" w:hAnsi="Times New Roman" w:cs="Times New Roman"/>
          <w:sz w:val="20"/>
          <w:szCs w:val="20"/>
        </w:rPr>
        <w:t>http://www.kpmg.com/Global/en/IssuesAndInsights/ArticlesPublications/first-impressions/Documents/</w:t>
      </w:r>
      <w:r>
        <w:rPr>
          <w:rFonts w:ascii="Times New Roman" w:hAnsi="Times New Roman" w:cs="Times New Roman"/>
          <w:sz w:val="20"/>
          <w:szCs w:val="20"/>
        </w:rPr>
        <w:t xml:space="preserve"> </w:t>
      </w:r>
      <w:r w:rsidRPr="003C04A9">
        <w:rPr>
          <w:rFonts w:ascii="Times New Roman" w:hAnsi="Times New Roman" w:cs="Times New Roman"/>
          <w:sz w:val="20"/>
          <w:szCs w:val="20"/>
        </w:rPr>
        <w:t>first-impressions-IFRS9.pdf</w:t>
      </w:r>
      <w:r>
        <w:rPr>
          <w:rFonts w:ascii="Times New Roman" w:hAnsi="Times New Roman" w:cs="Times New Roman"/>
          <w:sz w:val="20"/>
          <w:szCs w:val="20"/>
        </w:rPr>
        <w:t>, 12.3.4.7.</w:t>
      </w:r>
    </w:p>
    <w:p w:rsidR="00FF0C9A" w:rsidRPr="00AC5D57" w:rsidRDefault="00FF0C9A" w:rsidP="00FF0C9A">
      <w:pPr>
        <w:pStyle w:val="Cmsor3"/>
      </w:pPr>
      <w:bookmarkStart w:id="26" w:name="_Toc434181032"/>
      <w:bookmarkStart w:id="27" w:name="_Toc434689804"/>
      <w:r w:rsidRPr="00AC5D57">
        <w:t>Bekerüléskor már értékvesztett pénzügyi eszközök</w:t>
      </w:r>
      <w:bookmarkEnd w:id="26"/>
      <w:bookmarkEnd w:id="27"/>
    </w:p>
    <w:p w:rsidR="00D156B6" w:rsidRDefault="00D156B6" w:rsidP="00D156B6">
      <w:pPr>
        <w:autoSpaceDE w:val="0"/>
        <w:autoSpaceDN w:val="0"/>
        <w:adjustRightInd w:val="0"/>
        <w:spacing w:after="0" w:line="36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bekerüléskor értékvesztett pénzügyi eszközökre, más néven </w:t>
      </w:r>
      <w:r w:rsidRPr="00A22332">
        <w:rPr>
          <w:rFonts w:ascii="Times New Roman" w:hAnsi="Times New Roman" w:cs="Times New Roman"/>
          <w:b/>
          <w:sz w:val="24"/>
          <w:szCs w:val="24"/>
        </w:rPr>
        <w:t>keletkeztetett vagy vásárolt értékvesztett pénzügyi eszközökre</w:t>
      </w:r>
      <w:r w:rsidRPr="00AC5D57">
        <w:rPr>
          <w:rFonts w:ascii="Times New Roman" w:hAnsi="Times New Roman" w:cs="Times New Roman"/>
          <w:sz w:val="24"/>
          <w:szCs w:val="24"/>
        </w:rPr>
        <w:t xml:space="preserve"> az általánostól eltérő, különleges szabályok vonatkoznak az értékvesztés kapcsán.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Ahhoz, hogy azonosítani tudjuk ezen eszközöket, elengedhetetlen az értékvesztettség jelentésének tisztázása: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Egy eszköz akkor számít értékvesztettnek, ha egy vagy több olyan esemény következik be vele kapcsolatban, amely káros hatással van a jövőbeli becsült cash flow-ira. Ezen események definíció szerint a következők lehetnek:</w:t>
      </w:r>
    </w:p>
    <w:p w:rsidR="00FF0C9A" w:rsidRPr="00AC5D57" w:rsidRDefault="00FF0C9A" w:rsidP="00174EBB">
      <w:pPr>
        <w:pStyle w:val="Listaszerbekezds"/>
        <w:numPr>
          <w:ilvl w:val="0"/>
          <w:numId w:val="5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jelentős pénzügyi nehézség az adósnál </w:t>
      </w:r>
    </w:p>
    <w:p w:rsidR="00FF0C9A" w:rsidRPr="00AC5D57" w:rsidRDefault="00FF0C9A" w:rsidP="00174EBB">
      <w:pPr>
        <w:pStyle w:val="Listaszerbekezds"/>
        <w:numPr>
          <w:ilvl w:val="0"/>
          <w:numId w:val="5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szerződésszegés (például: </w:t>
      </w:r>
      <w:r w:rsidRPr="00AC5D57">
        <w:rPr>
          <w:rFonts w:ascii="Times New Roman" w:hAnsi="Times New Roman" w:cs="Times New Roman"/>
          <w:b/>
          <w:sz w:val="24"/>
          <w:szCs w:val="24"/>
        </w:rPr>
        <w:t>fizetési nem</w:t>
      </w:r>
      <w:r w:rsidR="00D156B6">
        <w:rPr>
          <w:rFonts w:ascii="Times New Roman" w:hAnsi="Times New Roman" w:cs="Times New Roman"/>
          <w:b/>
          <w:sz w:val="24"/>
          <w:szCs w:val="24"/>
        </w:rPr>
        <w:t xml:space="preserve"> </w:t>
      </w:r>
      <w:r w:rsidRPr="00AC5D57">
        <w:rPr>
          <w:rFonts w:ascii="Times New Roman" w:hAnsi="Times New Roman" w:cs="Times New Roman"/>
          <w:b/>
          <w:sz w:val="24"/>
          <w:szCs w:val="24"/>
        </w:rPr>
        <w:t>teljesítés</w:t>
      </w:r>
      <w:r w:rsidRPr="00AC5D57">
        <w:rPr>
          <w:rFonts w:ascii="Times New Roman" w:hAnsi="Times New Roman" w:cs="Times New Roman"/>
          <w:sz w:val="24"/>
          <w:szCs w:val="24"/>
        </w:rPr>
        <w:t>)</w:t>
      </w:r>
    </w:p>
    <w:p w:rsidR="00FF0C9A" w:rsidRPr="00AC5D57" w:rsidRDefault="00FF0C9A" w:rsidP="00174EBB">
      <w:pPr>
        <w:pStyle w:val="Listaszerbekezds"/>
        <w:numPr>
          <w:ilvl w:val="0"/>
          <w:numId w:val="5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hitelező olyan engedményt adott az adósnak – saját érdekeit szem előtt tartva, az adós pénzügyi nehézségei miatt –, amelyet amúgy nem nyújtott volna</w:t>
      </w:r>
    </w:p>
    <w:p w:rsidR="00FF0C9A" w:rsidRPr="00AC5D57" w:rsidRDefault="00FF0C9A" w:rsidP="00174EBB">
      <w:pPr>
        <w:pStyle w:val="Listaszerbekezds"/>
        <w:numPr>
          <w:ilvl w:val="0"/>
          <w:numId w:val="5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valószínűsíthető, hogy az adós csődbe megy vagy átalakul</w:t>
      </w:r>
    </w:p>
    <w:p w:rsidR="00FF0C9A" w:rsidRPr="00AC5D57" w:rsidRDefault="00FF0C9A" w:rsidP="00174EBB">
      <w:pPr>
        <w:pStyle w:val="Listaszerbekezds"/>
        <w:numPr>
          <w:ilvl w:val="0"/>
          <w:numId w:val="55"/>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pénzügyi nehézségek miatt eltűnik az adott pénzügyi eszköz aktív piaca</w:t>
      </w:r>
    </w:p>
    <w:p w:rsidR="00FF0C9A" w:rsidRPr="00AC5D57" w:rsidRDefault="00FF0C9A" w:rsidP="00174EBB">
      <w:pPr>
        <w:pStyle w:val="Listaszerbekezds"/>
        <w:numPr>
          <w:ilvl w:val="0"/>
          <w:numId w:val="55"/>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egy pénzügyi eszköz „nagyon kedvezményes áron” történő vétele, ami az eszköz értékvesztettségére enged következtetni.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Lehetséges, hogy az előbb felsorolt események kombinált hatása keletkeztet értékvesztettséget.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w:t>
      </w:r>
      <w:r w:rsidRPr="00AC5D57">
        <w:rPr>
          <w:rFonts w:ascii="Times New Roman" w:hAnsi="Times New Roman" w:cs="Times New Roman"/>
          <w:b/>
          <w:sz w:val="24"/>
          <w:szCs w:val="24"/>
        </w:rPr>
        <w:t xml:space="preserve">kezdeti értékelésüknél </w:t>
      </w:r>
      <w:r w:rsidRPr="00AC5D57">
        <w:rPr>
          <w:rFonts w:ascii="Times New Roman" w:hAnsi="Times New Roman" w:cs="Times New Roman"/>
          <w:sz w:val="24"/>
          <w:szCs w:val="24"/>
        </w:rPr>
        <w:t xml:space="preserve">a várható – a várható hitelezési veszteségekkel csökkentett – cash flow-kat kell figyelembe venni, és ez alapján kell kiszámolni az effektív kamatlábat. Ez az eredetitől eltérő, úgynevezett kiigazított effektív kamatláb. Ennél fogva a kezdeti megjelenítéskor értékvesztés </w:t>
      </w:r>
      <w:r w:rsidRPr="00AC5D57">
        <w:rPr>
          <w:rFonts w:ascii="Times New Roman" w:hAnsi="Times New Roman" w:cs="Times New Roman"/>
          <w:b/>
          <w:sz w:val="24"/>
          <w:szCs w:val="24"/>
        </w:rPr>
        <w:t>nem szerepelhet</w:t>
      </w:r>
      <w:r w:rsidRPr="00AC5D57">
        <w:rPr>
          <w:rFonts w:ascii="Times New Roman" w:hAnsi="Times New Roman" w:cs="Times New Roman"/>
          <w:sz w:val="24"/>
          <w:szCs w:val="24"/>
        </w:rPr>
        <w:t xml:space="preserve"> a könyvekben, mert bekerüléskor a várható hitelezési veszteségek be vannak építve a kalkulációkba.</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bekerüléskor már értékvesztett eszközök esetében </w:t>
      </w:r>
      <w:r w:rsidRPr="00AC5D57">
        <w:rPr>
          <w:rFonts w:ascii="Times New Roman" w:hAnsi="Times New Roman" w:cs="Times New Roman"/>
          <w:b/>
          <w:sz w:val="24"/>
          <w:szCs w:val="24"/>
        </w:rPr>
        <w:t>mindig</w:t>
      </w:r>
      <w:r w:rsidRPr="00AC5D57">
        <w:rPr>
          <w:rFonts w:ascii="Times New Roman" w:hAnsi="Times New Roman" w:cs="Times New Roman"/>
          <w:sz w:val="24"/>
          <w:szCs w:val="24"/>
        </w:rPr>
        <w:t xml:space="preserve"> a teljes élettartam alatti várható hitelezési veszteségekkel kell számolni. Az ezekben bekövetkező változásokat </w:t>
      </w:r>
      <w:r w:rsidRPr="00AC5D57">
        <w:rPr>
          <w:rFonts w:ascii="Times New Roman" w:hAnsi="Times New Roman" w:cs="Times New Roman"/>
          <w:b/>
          <w:sz w:val="24"/>
          <w:szCs w:val="24"/>
        </w:rPr>
        <w:t>tényleges</w:t>
      </w:r>
      <w:r w:rsidRPr="00AC5D57">
        <w:rPr>
          <w:rFonts w:ascii="Times New Roman" w:hAnsi="Times New Roman" w:cs="Times New Roman"/>
          <w:sz w:val="24"/>
          <w:szCs w:val="24"/>
        </w:rPr>
        <w:t xml:space="preserve"> értékvesztésként, a javulásokat pedig értékvesztési nyereségként kell kezelni (attól függetlenül, hogy mennyi értékvesztési ráfordítás merült fel előtte).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vásárolt kezdetben értékvesztett pénzügyi eszközök esetében a vételi ár legtöbbször „nagyon kedvezményes”.</w:t>
      </w:r>
    </w:p>
    <w:p w:rsidR="00FF0C9A"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Ha egy bekerüléskor már értékvesztett eszközök </w:t>
      </w:r>
      <w:r w:rsidRPr="00AC5D57">
        <w:rPr>
          <w:rFonts w:ascii="Times New Roman" w:hAnsi="Times New Roman" w:cs="Times New Roman"/>
          <w:b/>
          <w:sz w:val="24"/>
          <w:szCs w:val="24"/>
        </w:rPr>
        <w:t>módosulása</w:t>
      </w:r>
      <w:r w:rsidRPr="00AC5D57">
        <w:rPr>
          <w:rFonts w:ascii="Times New Roman" w:hAnsi="Times New Roman" w:cs="Times New Roman"/>
          <w:sz w:val="24"/>
          <w:szCs w:val="24"/>
        </w:rPr>
        <w:t xml:space="preserve"> nem jár az eszköz kivezetésével, akkor a módosulás előtti és az új könyv szerinti érték</w:t>
      </w:r>
      <w:r w:rsidRPr="00AC5D57">
        <w:rPr>
          <w:rStyle w:val="Lbjegyzet-hivatkozs"/>
          <w:rFonts w:ascii="Times New Roman" w:hAnsi="Times New Roman" w:cs="Times New Roman"/>
          <w:sz w:val="24"/>
          <w:szCs w:val="24"/>
        </w:rPr>
        <w:footnoteReference w:id="18"/>
      </w:r>
      <w:r w:rsidRPr="00AC5D57">
        <w:rPr>
          <w:rFonts w:ascii="Times New Roman" w:hAnsi="Times New Roman" w:cs="Times New Roman"/>
          <w:sz w:val="24"/>
          <w:szCs w:val="24"/>
        </w:rPr>
        <w:t xml:space="preserve"> különbözete lesz a módosulásból adódó nyereség/veszteség.</w:t>
      </w:r>
    </w:p>
    <w:p w:rsidR="00D156B6" w:rsidRPr="00AC5D57" w:rsidRDefault="00D156B6" w:rsidP="00FF0C9A">
      <w:pPr>
        <w:autoSpaceDE w:val="0"/>
        <w:autoSpaceDN w:val="0"/>
        <w:adjustRightInd w:val="0"/>
        <w:spacing w:after="120" w:line="360" w:lineRule="auto"/>
        <w:jc w:val="both"/>
        <w:rPr>
          <w:rFonts w:ascii="Times New Roman" w:hAnsi="Times New Roman" w:cs="Times New Roman"/>
          <w:sz w:val="24"/>
          <w:szCs w:val="24"/>
        </w:rPr>
      </w:pPr>
    </w:p>
    <w:p w:rsidR="00FF0C9A" w:rsidRPr="00AC5D57" w:rsidRDefault="00FF0C9A" w:rsidP="00FF0C9A">
      <w:pPr>
        <w:pStyle w:val="Cmsor3"/>
      </w:pPr>
      <w:bookmarkStart w:id="28" w:name="_Toc434181033"/>
      <w:bookmarkStart w:id="29" w:name="_Toc434689805"/>
      <w:r w:rsidRPr="00AC5D57">
        <w:t>Lízingkövetelések, vevőkövetelések és az IFRS 15 szerinti szerződéses eszközök</w:t>
      </w:r>
      <w:bookmarkEnd w:id="28"/>
      <w:bookmarkEnd w:id="29"/>
    </w:p>
    <w:p w:rsidR="00D156B6" w:rsidRDefault="00D156B6" w:rsidP="00D156B6">
      <w:pPr>
        <w:autoSpaceDE w:val="0"/>
        <w:autoSpaceDN w:val="0"/>
        <w:adjustRightInd w:val="0"/>
        <w:spacing w:after="0" w:line="360" w:lineRule="auto"/>
        <w:jc w:val="both"/>
        <w:rPr>
          <w:rFonts w:ascii="Times New Roman" w:hAnsi="Times New Roman" w:cs="Times New Roman"/>
          <w:sz w:val="24"/>
          <w:szCs w:val="24"/>
        </w:rPr>
      </w:pP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Ezen eszközöknél az IFRS 9 </w:t>
      </w:r>
      <w:r w:rsidRPr="00A22332">
        <w:rPr>
          <w:rFonts w:ascii="Times New Roman" w:hAnsi="Times New Roman" w:cs="Times New Roman"/>
          <w:b/>
          <w:sz w:val="24"/>
          <w:szCs w:val="24"/>
        </w:rPr>
        <w:t>egyszerűsített értékvesztési eljárást</w:t>
      </w:r>
      <w:r w:rsidRPr="00AC5D57">
        <w:rPr>
          <w:rFonts w:ascii="Times New Roman" w:hAnsi="Times New Roman" w:cs="Times New Roman"/>
          <w:sz w:val="24"/>
          <w:szCs w:val="24"/>
        </w:rPr>
        <w:t xml:space="preserve"> engedélyez.</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ebben az alfejezetben tárgyalt vevőkövetelések és szerződéses eszközök az IFRS 15, a lízingkövetelések pedig az IAS 17 hatálya alá tartoznak.</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szerződéses eszközt az IFRS 15 úgy definiálja, hogy a gazdálkodó egység azon – termékek vagy szolgáltatások vevőnek való átruházásáért járó – ellenszolgáltatáshoz való joga, amely valamilyen további feltételhez van kötve, nem jár automatikusan a gazdálkodó egységnek. Például: a gazdálkodó egység kiszállít egy terméket, de az ezért járó díj kifizetése egy másik termék kiszállításától függ a szerződésben foglaltak szerint.</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Az értékvesztés kapcsán </w:t>
      </w:r>
      <w:r w:rsidRPr="00A22332">
        <w:rPr>
          <w:rFonts w:ascii="Times New Roman" w:hAnsi="Times New Roman" w:cs="Times New Roman"/>
          <w:b/>
          <w:sz w:val="24"/>
          <w:szCs w:val="24"/>
        </w:rPr>
        <w:t>két csoportra</w:t>
      </w:r>
      <w:r w:rsidRPr="00AC5D57">
        <w:rPr>
          <w:rFonts w:ascii="Times New Roman" w:hAnsi="Times New Roman" w:cs="Times New Roman"/>
          <w:sz w:val="24"/>
          <w:szCs w:val="24"/>
        </w:rPr>
        <w:t xml:space="preserve"> kell osztani a lízingköveteléseket, vevőköveteléseket és szerződéses eszközöket:</w:t>
      </w:r>
    </w:p>
    <w:p w:rsidR="00FF0C9A" w:rsidRPr="00AC5D57" w:rsidRDefault="00FF0C9A" w:rsidP="00174EBB">
      <w:pPr>
        <w:pStyle w:val="Listaszerbekezds"/>
        <w:numPr>
          <w:ilvl w:val="0"/>
          <w:numId w:val="56"/>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azon vevőkövetelésekre és szerződéses eszközökre, amelyek nem rendelkeznek jelentős finanszírozási komponenssel, illetve</w:t>
      </w:r>
    </w:p>
    <w:p w:rsidR="00FF0C9A" w:rsidRPr="00AC5D57" w:rsidRDefault="00FF0C9A" w:rsidP="00174EBB">
      <w:pPr>
        <w:pStyle w:val="Listaszerbekezds"/>
        <w:numPr>
          <w:ilvl w:val="0"/>
          <w:numId w:val="56"/>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lízingkövetelésekre és azon vevőkövetelésekre és szerződéses eszközökre, amelyek rendelkeznek jelentős finanszírozási komponenssel.</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IFRS 15 alapján egy szerződés akkor tartalmaz jelentős finanszírozási komponenst, ha a – felek által megegyezett – kifizetések időzítése a vevőt vagy a gazdálkodó egységet jelentős előnnyel ruházza fel (termékek vagy szolgáltatások vevőnek való átruházásának finanszírozásából adódóan).</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Az értékvesztés során mindig a teljes élettartam alatti várható hitelezési veszteségekkel kell számolni.</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b) </w:t>
      </w:r>
      <w:proofErr w:type="gramStart"/>
      <w:r w:rsidRPr="00AC5D57">
        <w:rPr>
          <w:rFonts w:ascii="Times New Roman" w:hAnsi="Times New Roman" w:cs="Times New Roman"/>
          <w:sz w:val="24"/>
          <w:szCs w:val="24"/>
        </w:rPr>
        <w:t>A</w:t>
      </w:r>
      <w:proofErr w:type="gramEnd"/>
      <w:r w:rsidRPr="00AC5D57">
        <w:rPr>
          <w:rFonts w:ascii="Times New Roman" w:hAnsi="Times New Roman" w:cs="Times New Roman"/>
          <w:sz w:val="24"/>
          <w:szCs w:val="24"/>
        </w:rPr>
        <w:t xml:space="preserve"> gazdálkodó egység </w:t>
      </w:r>
      <w:r w:rsidRPr="00AC5D57">
        <w:rPr>
          <w:rFonts w:ascii="Times New Roman" w:hAnsi="Times New Roman" w:cs="Times New Roman"/>
          <w:b/>
          <w:sz w:val="24"/>
          <w:szCs w:val="24"/>
        </w:rPr>
        <w:t xml:space="preserve">eldöntheti </w:t>
      </w:r>
      <w:r w:rsidRPr="00AC5D57">
        <w:rPr>
          <w:rFonts w:ascii="Times New Roman" w:hAnsi="Times New Roman" w:cs="Times New Roman"/>
          <w:sz w:val="24"/>
          <w:szCs w:val="24"/>
        </w:rPr>
        <w:t>külön-külön egymástól függetlenül, hogy a teljes élettartam alatti várható hitelezési veszteségekkel számol, vagy az általános megközelítésben leírtakat alkalmazza inkább a lízingkövetelésekre, a vevőkövetelésekre illetve a szerződéses eszközökre.</w:t>
      </w:r>
    </w:p>
    <w:p w:rsidR="00FF0C9A" w:rsidRPr="00AC5D57"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lízingkövetelések értékvesztése kapcsán:</w:t>
      </w:r>
    </w:p>
    <w:p w:rsidR="00FF0C9A" w:rsidRPr="00AC5D57" w:rsidRDefault="00FF0C9A" w:rsidP="00174EBB">
      <w:pPr>
        <w:pStyle w:val="Listaszerbekezds"/>
        <w:numPr>
          <w:ilvl w:val="0"/>
          <w:numId w:val="5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 xml:space="preserve">a pénzügyi- és az operatív lízingkövetelések esetében is dönthet eltérően a gazdálkodó egység, nem kell ugyanazt a módszert alkalmaznia mindkettőre </w:t>
      </w:r>
    </w:p>
    <w:p w:rsidR="00FF0C9A" w:rsidRPr="00AC5D57" w:rsidRDefault="00FF0C9A" w:rsidP="00174EBB">
      <w:pPr>
        <w:pStyle w:val="Listaszerbekezds"/>
        <w:numPr>
          <w:ilvl w:val="0"/>
          <w:numId w:val="57"/>
        </w:numPr>
        <w:autoSpaceDE w:val="0"/>
        <w:autoSpaceDN w:val="0"/>
        <w:adjustRightInd w:val="0"/>
        <w:spacing w:after="12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a lízingkövetelések értékelésénél használt cash flow-kkal konzisztens cash flow-kkal kell számolni</w:t>
      </w:r>
    </w:p>
    <w:p w:rsidR="00FF0C9A" w:rsidRPr="00AC5D57" w:rsidRDefault="00FF0C9A" w:rsidP="00174EBB">
      <w:pPr>
        <w:pStyle w:val="Listaszerbekezds"/>
        <w:numPr>
          <w:ilvl w:val="0"/>
          <w:numId w:val="57"/>
        </w:numPr>
        <w:autoSpaceDE w:val="0"/>
        <w:autoSpaceDN w:val="0"/>
        <w:adjustRightInd w:val="0"/>
        <w:spacing w:after="240" w:line="360" w:lineRule="auto"/>
        <w:ind w:left="924" w:hanging="357"/>
        <w:contextualSpacing w:val="0"/>
        <w:jc w:val="both"/>
        <w:rPr>
          <w:rFonts w:ascii="Times New Roman" w:hAnsi="Times New Roman" w:cs="Times New Roman"/>
          <w:sz w:val="24"/>
          <w:szCs w:val="24"/>
        </w:rPr>
      </w:pPr>
      <w:r w:rsidRPr="00AC5D57">
        <w:rPr>
          <w:rFonts w:ascii="Times New Roman" w:hAnsi="Times New Roman" w:cs="Times New Roman"/>
          <w:sz w:val="24"/>
          <w:szCs w:val="24"/>
        </w:rPr>
        <w:t>ugyanaz a diszkontráta, mint amit a lízingkövetelések értékelésénél használt a gazdálkodó egység.</w:t>
      </w:r>
    </w:p>
    <w:p w:rsidR="00FF0C9A" w:rsidRPr="00AC5D57" w:rsidRDefault="00FF0C9A" w:rsidP="00FF0C9A">
      <w:pPr>
        <w:rPr>
          <w:rFonts w:ascii="Times New Roman" w:hAnsi="Times New Roman" w:cs="Times New Roman"/>
          <w:sz w:val="24"/>
          <w:szCs w:val="24"/>
        </w:rPr>
      </w:pPr>
      <w:r w:rsidRPr="00AC5D57">
        <w:rPr>
          <w:rFonts w:ascii="Times New Roman" w:hAnsi="Times New Roman" w:cs="Times New Roman"/>
          <w:sz w:val="24"/>
          <w:szCs w:val="24"/>
        </w:rPr>
        <w:br w:type="page"/>
      </w:r>
    </w:p>
    <w:p w:rsidR="00FF0C9A" w:rsidRPr="00AC5D57" w:rsidRDefault="00FF0C9A" w:rsidP="00FF0C9A">
      <w:pPr>
        <w:autoSpaceDE w:val="0"/>
        <w:autoSpaceDN w:val="0"/>
        <w:adjustRightInd w:val="0"/>
        <w:spacing w:after="240" w:line="360" w:lineRule="auto"/>
        <w:jc w:val="both"/>
        <w:rPr>
          <w:rFonts w:ascii="Times New Roman" w:hAnsi="Times New Roman" w:cs="Times New Roman"/>
          <w:sz w:val="24"/>
          <w:szCs w:val="24"/>
        </w:rPr>
      </w:pPr>
      <w:r w:rsidRPr="00AC5D57">
        <w:rPr>
          <w:rFonts w:ascii="Times New Roman" w:hAnsi="Times New Roman" w:cs="Times New Roman"/>
          <w:sz w:val="24"/>
          <w:szCs w:val="24"/>
        </w:rPr>
        <w:t>A következő ábra összefoglalja a pénzügyi eszközök</w:t>
      </w:r>
      <w:r>
        <w:rPr>
          <w:rFonts w:ascii="Times New Roman" w:hAnsi="Times New Roman" w:cs="Times New Roman"/>
          <w:sz w:val="24"/>
          <w:szCs w:val="24"/>
        </w:rPr>
        <w:t xml:space="preserve"> IF</w:t>
      </w:r>
      <w:r w:rsidR="00126740">
        <w:rPr>
          <w:rFonts w:ascii="Times New Roman" w:hAnsi="Times New Roman" w:cs="Times New Roman"/>
          <w:sz w:val="24"/>
          <w:szCs w:val="24"/>
        </w:rPr>
        <w:t>RS 9 szerinti értékvesztését (11</w:t>
      </w:r>
      <w:r>
        <w:rPr>
          <w:rFonts w:ascii="Times New Roman" w:hAnsi="Times New Roman" w:cs="Times New Roman"/>
          <w:sz w:val="24"/>
          <w:szCs w:val="24"/>
        </w:rPr>
        <w:t>.</w:t>
      </w:r>
      <w:r w:rsidR="00D156B6">
        <w:rPr>
          <w:rFonts w:ascii="Times New Roman" w:hAnsi="Times New Roman" w:cs="Times New Roman"/>
          <w:sz w:val="24"/>
          <w:szCs w:val="24"/>
        </w:rPr>
        <w:t xml:space="preserve"> </w:t>
      </w:r>
      <w:r>
        <w:rPr>
          <w:rFonts w:ascii="Times New Roman" w:hAnsi="Times New Roman" w:cs="Times New Roman"/>
          <w:sz w:val="24"/>
          <w:szCs w:val="24"/>
        </w:rPr>
        <w:t>ábra):</w:t>
      </w:r>
    </w:p>
    <w:p w:rsidR="00FF0C9A" w:rsidRPr="00AC5D57" w:rsidRDefault="00FF0C9A" w:rsidP="00FF0C9A">
      <w:pPr>
        <w:autoSpaceDE w:val="0"/>
        <w:autoSpaceDN w:val="0"/>
        <w:adjustRightInd w:val="0"/>
        <w:spacing w:after="0" w:line="360" w:lineRule="auto"/>
        <w:jc w:val="both"/>
        <w:rPr>
          <w:rFonts w:ascii="Times New Roman" w:hAnsi="Times New Roman" w:cs="Times New Roman"/>
          <w:sz w:val="24"/>
          <w:szCs w:val="24"/>
        </w:rPr>
      </w:pPr>
      <w:r w:rsidRPr="00AC5D57">
        <w:rPr>
          <w:rFonts w:ascii="Times New Roman" w:hAnsi="Times New Roman" w:cs="Times New Roman"/>
          <w:noProof/>
          <w:sz w:val="24"/>
          <w:szCs w:val="24"/>
          <w:lang w:eastAsia="hu-HU"/>
        </w:rPr>
        <w:drawing>
          <wp:inline distT="0" distB="0" distL="0" distR="0">
            <wp:extent cx="5765800" cy="3314700"/>
            <wp:effectExtent l="0" t="0" r="0" b="0"/>
            <wp:docPr id="23" name="Objektum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2968" cy="5760640"/>
                      <a:chOff x="179512" y="404664"/>
                      <a:chExt cx="8712968" cy="5760640"/>
                    </a:xfrm>
                  </a:grpSpPr>
                  <a:sp>
                    <a:nvSpPr>
                      <a:cNvPr id="4" name="Lekerekített téglalap 3"/>
                      <a:cNvSpPr/>
                    </a:nvSpPr>
                    <a:spPr>
                      <a:xfrm>
                        <a:off x="2555776" y="404664"/>
                        <a:ext cx="3960440"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Értékvesztett a pénzügyi eszköz a kezdeti megjelenítéskor?</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Lekerekített téglalap 9"/>
                      <a:cNvSpPr/>
                    </a:nvSpPr>
                    <a:spPr>
                      <a:xfrm>
                        <a:off x="2555776" y="1340768"/>
                        <a:ext cx="3960440"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Alkalmazzák </a:t>
                          </a:r>
                          <a:r>
                            <a:rPr lang="hu-HU" sz="1400" dirty="0" smtClean="0">
                              <a:solidFill>
                                <a:schemeClr val="tx1"/>
                              </a:solidFill>
                            </a:rPr>
                            <a:t>az egyszerűsített </a:t>
                          </a:r>
                          <a:r>
                            <a:rPr lang="hu-HU" sz="1400" dirty="0" smtClean="0">
                              <a:solidFill>
                                <a:schemeClr val="tx1"/>
                              </a:solidFill>
                            </a:rPr>
                            <a:t>megközelítést </a:t>
                          </a:r>
                          <a:r>
                            <a:rPr lang="hu-HU" sz="1400" dirty="0" smtClean="0">
                              <a:solidFill>
                                <a:schemeClr val="tx1"/>
                              </a:solidFill>
                            </a:rPr>
                            <a:t>(vevő-, </a:t>
                          </a:r>
                          <a:r>
                            <a:rPr lang="hu-HU" sz="1400" dirty="0" smtClean="0">
                              <a:solidFill>
                                <a:schemeClr val="tx1"/>
                              </a:solidFill>
                            </a:rPr>
                            <a:t>lízingkövetelések, szerződéses eszközök)?</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Lekerekített téglalap 10"/>
                      <a:cNvSpPr/>
                    </a:nvSpPr>
                    <a:spPr>
                      <a:xfrm>
                        <a:off x="2555776" y="2276872"/>
                        <a:ext cx="3960440"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Alacsony hitelezési kockázatú a pénzügyi eszköz a fordulónapon?</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Lekerekített téglalap 11"/>
                      <a:cNvSpPr/>
                    </a:nvSpPr>
                    <a:spPr>
                      <a:xfrm>
                        <a:off x="2555776" y="3212976"/>
                        <a:ext cx="3960440"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kezdeti megjelenítés óta szignifikánsan megnövekedett a hitelezési kockázat?</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Lekerekített téglalap 12"/>
                      <a:cNvSpPr/>
                    </a:nvSpPr>
                    <a:spPr>
                      <a:xfrm>
                        <a:off x="2555776" y="4149080"/>
                        <a:ext cx="3960440" cy="504056"/>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Teljes élettartam alatti várható hitelezési veszteségek azonosítása és elszámolása</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Lekerekített téglalap 13"/>
                      <a:cNvSpPr/>
                    </a:nvSpPr>
                    <a:spPr>
                      <a:xfrm>
                        <a:off x="2555776" y="5085184"/>
                        <a:ext cx="3960440"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Ténylegesen értékvesztett már a pénzügyi eszköz?</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Lekerekített téglalap 14"/>
                      <a:cNvSpPr/>
                    </a:nvSpPr>
                    <a:spPr>
                      <a:xfrm>
                        <a:off x="179512" y="4941168"/>
                        <a:ext cx="2088232" cy="1224136"/>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kamatbevétel számítása az elszámolt értékvesztésekkel nem csökkentett könyv szerinti értéken történik</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Lekerekített téglalap 15"/>
                      <a:cNvSpPr/>
                    </a:nvSpPr>
                    <a:spPr>
                      <a:xfrm>
                        <a:off x="6804248" y="4941168"/>
                        <a:ext cx="2088232" cy="1224136"/>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 kamatbevétel számítása a tényleges értékvesztésekkel csökkentett könyv szerinti értéken történik</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Lekerekített téglalap 16"/>
                      <a:cNvSpPr/>
                    </a:nvSpPr>
                    <a:spPr>
                      <a:xfrm>
                        <a:off x="6804248" y="2564904"/>
                        <a:ext cx="2088232" cy="1944216"/>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12 havi várható hitelezési veszteségek azonosítása és elszámolása, </a:t>
                          </a:r>
                        </a:p>
                        <a:p>
                          <a:pPr algn="ctr"/>
                          <a:r>
                            <a:rPr lang="hu-HU" sz="1400" dirty="0" smtClean="0">
                              <a:solidFill>
                                <a:schemeClr val="tx1"/>
                              </a:solidFill>
                            </a:rPr>
                            <a:t>kamatbevétel az elszámolt értékvesztésekkel nem csökkentett könyv szerinti értéken</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Lekerekített téglalap 17"/>
                      <a:cNvSpPr/>
                    </a:nvSpPr>
                    <a:spPr>
                      <a:xfrm>
                        <a:off x="179512" y="404664"/>
                        <a:ext cx="2088232" cy="2232248"/>
                      </a:xfrm>
                      <a:prstGeom prst="roundRect">
                        <a:avLst/>
                      </a:prstGeom>
                      <a:solidFill>
                        <a:schemeClr val="bg1">
                          <a:lumMod val="75000"/>
                        </a:schemeClr>
                      </a:solidFill>
                      <a:ln>
                        <a:solidFill>
                          <a:schemeClr val="tx1">
                            <a:lumMod val="50000"/>
                            <a:lumOff val="50000"/>
                          </a:schemeClr>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Kiigazított effektív kamatláb számítása, és minden várható (teljes élettartam alatti) hitelezési veszteségben bekövetkező változás tényleges értékvesztésként való elszámolása/kezelése</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Lekerekített téglalap 18"/>
                      <a:cNvSpPr/>
                    </a:nvSpPr>
                    <a:spPr>
                      <a:xfrm>
                        <a:off x="6804248" y="1628800"/>
                        <a:ext cx="2088232" cy="504056"/>
                      </a:xfrm>
                      <a:prstGeom prst="round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400" dirty="0" smtClean="0">
                              <a:solidFill>
                                <a:schemeClr val="tx1"/>
                              </a:solidFill>
                            </a:rPr>
                            <a:t>Alkalmazták az egyszerűsítést?</a:t>
                          </a:r>
                          <a:endParaRPr lang="hu-HU"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 name="Egyenes összekötő nyíllal 20"/>
                      <a:cNvCxnSpPr>
                        <a:stCxn id="4" idx="2"/>
                        <a:endCxn id="10" idx="0"/>
                      </a:cNvCxnSpPr>
                    </a:nvCxnSpPr>
                    <a:spPr>
                      <a:xfrm>
                        <a:off x="4535996" y="908720"/>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Egyenes összekötő nyíllal 22"/>
                      <a:cNvCxnSpPr>
                        <a:stCxn id="10" idx="2"/>
                        <a:endCxn id="11" idx="0"/>
                      </a:cNvCxnSpPr>
                    </a:nvCxnSpPr>
                    <a:spPr>
                      <a:xfrm>
                        <a:off x="4535996" y="1844824"/>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Egyenes összekötő nyíllal 24"/>
                      <a:cNvCxnSpPr>
                        <a:stCxn id="11" idx="2"/>
                        <a:endCxn id="12" idx="0"/>
                      </a:cNvCxnSpPr>
                    </a:nvCxnSpPr>
                    <a:spPr>
                      <a:xfrm>
                        <a:off x="4535996" y="2780928"/>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Egyenes összekötő nyíllal 26"/>
                      <a:cNvCxnSpPr>
                        <a:stCxn id="12" idx="2"/>
                        <a:endCxn id="13" idx="0"/>
                      </a:cNvCxnSpPr>
                    </a:nvCxnSpPr>
                    <a:spPr>
                      <a:xfrm>
                        <a:off x="4535996" y="3717032"/>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9" name="Egyenes összekötő nyíllal 28"/>
                      <a:cNvCxnSpPr>
                        <a:stCxn id="13" idx="2"/>
                        <a:endCxn id="14" idx="0"/>
                      </a:cNvCxnSpPr>
                    </a:nvCxnSpPr>
                    <a:spPr>
                      <a:xfrm>
                        <a:off x="4535996" y="4653136"/>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1" name="Szögletes összekötő 30"/>
                      <a:cNvCxnSpPr>
                        <a:stCxn id="10" idx="1"/>
                        <a:endCxn id="13" idx="1"/>
                      </a:cNvCxnSpPr>
                    </a:nvCxnSpPr>
                    <a:spPr>
                      <a:xfrm rot="10800000" flipV="1">
                        <a:off x="2555776" y="1592796"/>
                        <a:ext cx="12700" cy="2808312"/>
                      </a:xfrm>
                      <a:prstGeom prst="bentConnector3">
                        <a:avLst>
                          <a:gd name="adj1" fmla="val 1145457"/>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Szögletes összekötő 34"/>
                      <a:cNvCxnSpPr/>
                    </a:nvCxnSpPr>
                    <a:spPr>
                      <a:xfrm rot="10800000" flipV="1">
                        <a:off x="2267744" y="908720"/>
                        <a:ext cx="792088" cy="216024"/>
                      </a:xfrm>
                      <a:prstGeom prst="bentConnector3">
                        <a:avLst>
                          <a:gd name="adj1" fmla="val -14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zögletes összekötő 38"/>
                      <a:cNvCxnSpPr/>
                    </a:nvCxnSpPr>
                    <a:spPr>
                      <a:xfrm rot="10800000" flipV="1">
                        <a:off x="2267744" y="5589240"/>
                        <a:ext cx="936104" cy="360040"/>
                      </a:xfrm>
                      <a:prstGeom prst="bentConnector3">
                        <a:avLst>
                          <a:gd name="adj1" fmla="val 666"/>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zögletes összekötő 42"/>
                      <a:cNvCxnSpPr/>
                    </a:nvCxnSpPr>
                    <a:spPr>
                      <a:xfrm>
                        <a:off x="5940152" y="5589240"/>
                        <a:ext cx="864096" cy="360040"/>
                      </a:xfrm>
                      <a:prstGeom prst="bentConnector3">
                        <a:avLst>
                          <a:gd name="adj1" fmla="val -1307"/>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Egyenes összekötő nyíllal 44"/>
                      <a:cNvCxnSpPr/>
                    </a:nvCxnSpPr>
                    <a:spPr>
                      <a:xfrm>
                        <a:off x="8460432" y="2132856"/>
                        <a:ext cx="0" cy="43204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Egyenes összekötő nyíllal 51"/>
                      <a:cNvCxnSpPr/>
                    </a:nvCxnSpPr>
                    <a:spPr>
                      <a:xfrm flipH="1">
                        <a:off x="6084168" y="2132856"/>
                        <a:ext cx="1296144" cy="108012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Egyenes összekötő nyíllal 53"/>
                      <a:cNvCxnSpPr>
                        <a:endCxn id="19" idx="1"/>
                      </a:cNvCxnSpPr>
                    </a:nvCxnSpPr>
                    <a:spPr>
                      <a:xfrm flipV="1">
                        <a:off x="5652120" y="1880828"/>
                        <a:ext cx="1152128" cy="39604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8" name="Szögletes összekötő 57"/>
                      <a:cNvCxnSpPr/>
                    </a:nvCxnSpPr>
                    <a:spPr>
                      <a:xfrm>
                        <a:off x="5868144" y="3717032"/>
                        <a:ext cx="936104" cy="216024"/>
                      </a:xfrm>
                      <a:prstGeom prst="bentConnector3">
                        <a:avLst>
                          <a:gd name="adj1" fmla="val -1307"/>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9" name="Szövegdoboz 68"/>
                      <a:cNvSpPr txBox="1"/>
                    </a:nvSpPr>
                    <a:spPr>
                      <a:xfrm>
                        <a:off x="3923928" y="980728"/>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70" name="Szövegdoboz 69"/>
                      <a:cNvSpPr txBox="1"/>
                    </a:nvSpPr>
                    <a:spPr>
                      <a:xfrm>
                        <a:off x="3923928" y="2852936"/>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71" name="Szövegdoboz 70"/>
                      <a:cNvSpPr txBox="1"/>
                    </a:nvSpPr>
                    <a:spPr>
                      <a:xfrm>
                        <a:off x="3923928" y="1916832"/>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72" name="Szövegdoboz 71"/>
                      <a:cNvSpPr txBox="1"/>
                    </a:nvSpPr>
                    <a:spPr>
                      <a:xfrm>
                        <a:off x="2483768" y="5589240"/>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73" name="Szövegdoboz 72"/>
                      <a:cNvSpPr txBox="1"/>
                    </a:nvSpPr>
                    <a:spPr>
                      <a:xfrm>
                        <a:off x="6516216" y="2132856"/>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74" name="Szövegdoboz 73"/>
                      <a:cNvSpPr txBox="1"/>
                    </a:nvSpPr>
                    <a:spPr>
                      <a:xfrm>
                        <a:off x="5292080" y="3717032"/>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Nem</a:t>
                          </a:r>
                          <a:endParaRPr lang="hu-HU" sz="1600" b="1" dirty="0"/>
                        </a:p>
                      </a:txBody>
                      <a:useSpRect/>
                    </a:txSp>
                  </a:sp>
                  <a:sp>
                    <a:nvSpPr>
                      <a:cNvPr id="75" name="Szövegdoboz 74"/>
                      <a:cNvSpPr txBox="1"/>
                    </a:nvSpPr>
                    <a:spPr>
                      <a:xfrm>
                        <a:off x="3059832" y="908720"/>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76" name="Szövegdoboz 75"/>
                      <a:cNvSpPr txBox="1"/>
                    </a:nvSpPr>
                    <a:spPr>
                      <a:xfrm>
                        <a:off x="1835696" y="2852936"/>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77" name="Szövegdoboz 76"/>
                      <a:cNvSpPr txBox="1"/>
                    </a:nvSpPr>
                    <a:spPr>
                      <a:xfrm>
                        <a:off x="3995936" y="3789040"/>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78" name="Szövegdoboz 77"/>
                      <a:cNvSpPr txBox="1"/>
                    </a:nvSpPr>
                    <a:spPr>
                      <a:xfrm>
                        <a:off x="5580112" y="1844824"/>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79" name="Szövegdoboz 78"/>
                      <a:cNvSpPr txBox="1"/>
                    </a:nvSpPr>
                    <a:spPr>
                      <a:xfrm>
                        <a:off x="7884368" y="2204864"/>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80" name="Szövegdoboz 79"/>
                      <a:cNvSpPr txBox="1"/>
                    </a:nvSpPr>
                    <a:spPr>
                      <a:xfrm>
                        <a:off x="5940152" y="5589240"/>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Igen</a:t>
                          </a:r>
                          <a:endParaRPr lang="hu-HU" sz="1600" b="1" dirty="0"/>
                        </a:p>
                      </a:txBody>
                      <a:useSpRect/>
                    </a:txSp>
                  </a:sp>
                  <a:sp>
                    <a:nvSpPr>
                      <a:cNvPr id="81" name="Szövegdoboz 80"/>
                      <a:cNvSpPr txBox="1"/>
                    </a:nvSpPr>
                    <a:spPr>
                      <a:xfrm>
                        <a:off x="4139952" y="4725144"/>
                        <a:ext cx="648072" cy="338554"/>
                      </a:xfrm>
                      <a:prstGeom prst="rect">
                        <a:avLst/>
                      </a:prstGeom>
                      <a:noFill/>
                    </a:spPr>
                    <a:txSp>
                      <a:txBody>
                        <a:bodyPr wrap="square" rtlCol="0">
                          <a:spAutoFit/>
                        </a:bodyPr>
                        <a:lstStyle>
                          <a:defPPr>
                            <a:defRPr lang="hu-H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hu-HU" sz="1600" b="1" dirty="0" smtClean="0"/>
                            <a:t>És</a:t>
                          </a:r>
                          <a:endParaRPr lang="hu-HU" sz="1600" b="1" dirty="0"/>
                        </a:p>
                      </a:txBody>
                      <a:useSpRect/>
                    </a:txSp>
                  </a:sp>
                </lc:lockedCanvas>
              </a:graphicData>
            </a:graphic>
          </wp:inline>
        </w:drawing>
      </w:r>
    </w:p>
    <w:p w:rsidR="00FF0C9A" w:rsidRDefault="00FF0C9A" w:rsidP="00D156B6">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forrás</w:t>
      </w:r>
      <w:proofErr w:type="gramEnd"/>
      <w:r>
        <w:rPr>
          <w:rFonts w:ascii="Times New Roman" w:hAnsi="Times New Roman" w:cs="Times New Roman"/>
          <w:sz w:val="20"/>
          <w:szCs w:val="20"/>
        </w:rPr>
        <w:t>:</w:t>
      </w:r>
      <w:r w:rsidRPr="007E1FB1">
        <w:rPr>
          <w:rFonts w:ascii="Times New Roman" w:hAnsi="Times New Roman" w:cs="Times New Roman"/>
          <w:sz w:val="20"/>
          <w:szCs w:val="20"/>
        </w:rPr>
        <w:t>http://www.ey.com/Publication/vwLUAssets/Applying_IFRS:_Impairment_of_financial_instruments_under_IFRS_9/$FILE/Apply-FI-Dec2014.pdf</w:t>
      </w:r>
      <w:r>
        <w:rPr>
          <w:rFonts w:ascii="Times New Roman" w:hAnsi="Times New Roman" w:cs="Times New Roman"/>
          <w:sz w:val="20"/>
          <w:szCs w:val="20"/>
        </w:rPr>
        <w:t>, pp. 12.</w:t>
      </w:r>
    </w:p>
    <w:p w:rsidR="00D156B6" w:rsidRPr="00AC5D57" w:rsidRDefault="00D156B6" w:rsidP="00FF0C9A">
      <w:pPr>
        <w:autoSpaceDE w:val="0"/>
        <w:autoSpaceDN w:val="0"/>
        <w:adjustRightInd w:val="0"/>
        <w:spacing w:after="240" w:line="360" w:lineRule="auto"/>
        <w:jc w:val="both"/>
        <w:rPr>
          <w:rFonts w:ascii="Times New Roman" w:hAnsi="Times New Roman" w:cs="Times New Roman"/>
          <w:sz w:val="20"/>
          <w:szCs w:val="20"/>
        </w:rPr>
      </w:pPr>
    </w:p>
    <w:p w:rsidR="00FF0C9A" w:rsidRPr="00AC5D57" w:rsidRDefault="00FF0C9A" w:rsidP="00FF0C9A">
      <w:pPr>
        <w:pStyle w:val="Cmsor3"/>
      </w:pPr>
      <w:bookmarkStart w:id="30" w:name="_Toc434181034"/>
      <w:bookmarkStart w:id="31" w:name="_Toc434689806"/>
      <w:r w:rsidRPr="00AC5D57">
        <w:t>Az új értékvesztési modell várható hatásai – saját vélemény</w:t>
      </w:r>
      <w:bookmarkEnd w:id="30"/>
      <w:bookmarkEnd w:id="31"/>
    </w:p>
    <w:p w:rsidR="00D156B6" w:rsidRDefault="00D156B6" w:rsidP="00D156B6">
      <w:pPr>
        <w:spacing w:after="0" w:line="360" w:lineRule="auto"/>
        <w:jc w:val="both"/>
        <w:rPr>
          <w:rFonts w:ascii="Times New Roman" w:hAnsi="Times New Roman" w:cs="Times New Roman"/>
          <w:sz w:val="24"/>
          <w:szCs w:val="24"/>
        </w:rPr>
      </w:pPr>
    </w:p>
    <w:p w:rsidR="00FF0C9A" w:rsidRPr="00AC5D57"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 probléma adott volt – a gazdasági válság után világossá vált –, hogy az értékvesztési modell nem működik megfelelően, változtatni, pontosítani kell rajta. Erre a szabályalkotók megoldásként létrehozták az IFRS 9-ben a nagyon </w:t>
      </w:r>
      <w:r w:rsidRPr="00AC5D57">
        <w:rPr>
          <w:rFonts w:ascii="Times New Roman" w:hAnsi="Times New Roman" w:cs="Times New Roman"/>
          <w:b/>
          <w:sz w:val="24"/>
          <w:szCs w:val="24"/>
        </w:rPr>
        <w:t>elméleti</w:t>
      </w:r>
      <w:r w:rsidRPr="00AC5D57">
        <w:rPr>
          <w:rFonts w:ascii="Times New Roman" w:hAnsi="Times New Roman" w:cs="Times New Roman"/>
          <w:sz w:val="24"/>
          <w:szCs w:val="24"/>
        </w:rPr>
        <w:t xml:space="preserve">, „mindent figyelembevevő” várható hitelezési veszteségek modellt. Az IAS 39 felmerült veszteségek modelljéhez képest ezt </w:t>
      </w:r>
      <w:r>
        <w:rPr>
          <w:rFonts w:ascii="Times New Roman" w:hAnsi="Times New Roman" w:cs="Times New Roman"/>
          <w:sz w:val="24"/>
          <w:szCs w:val="24"/>
        </w:rPr>
        <w:t xml:space="preserve">a modellt </w:t>
      </w:r>
      <w:r w:rsidRPr="00AC5D57">
        <w:rPr>
          <w:rFonts w:ascii="Times New Roman" w:hAnsi="Times New Roman" w:cs="Times New Roman"/>
          <w:sz w:val="24"/>
          <w:szCs w:val="24"/>
        </w:rPr>
        <w:t xml:space="preserve">teljesen új szemlélet jellemzi, nagy ugrás történt, amely előrevetíti azt, hogy a gazdálkodó egységeknek sok nehézséggel és újítással kell majd szembenézniük az átállás/bevezetés során. Érzésem szerint az IASB kicsit „túldimenzionálta” és elbonyolította a kérdéskört, és arra nem fordított elég figyelmet, hogy az új szabályozás könnyen megvalósítható is legyen a gyakorlatban. Az újdonsült modell sematikus, sok </w:t>
      </w:r>
      <w:r w:rsidRPr="00AC5D57">
        <w:rPr>
          <w:rFonts w:ascii="Times New Roman" w:hAnsi="Times New Roman" w:cs="Times New Roman"/>
          <w:b/>
          <w:sz w:val="24"/>
          <w:szCs w:val="24"/>
        </w:rPr>
        <w:t>gyakorlati lyukat</w:t>
      </w:r>
      <w:r w:rsidRPr="00AC5D57">
        <w:rPr>
          <w:rFonts w:ascii="Times New Roman" w:hAnsi="Times New Roman" w:cs="Times New Roman"/>
          <w:sz w:val="24"/>
          <w:szCs w:val="24"/>
        </w:rPr>
        <w:t xml:space="preserve"> tartalmaz, ami azért is nagy gond, mert egyelőre nincs precedens, ami feltöltené ezeket a hézagokat. Kérdéses, hogy az </w:t>
      </w:r>
      <w:r>
        <w:rPr>
          <w:rFonts w:ascii="Times New Roman" w:hAnsi="Times New Roman" w:cs="Times New Roman"/>
          <w:sz w:val="24"/>
          <w:szCs w:val="24"/>
        </w:rPr>
        <w:t>alkalmazók</w:t>
      </w:r>
      <w:r w:rsidRPr="00AC5D57">
        <w:rPr>
          <w:rFonts w:ascii="Times New Roman" w:hAnsi="Times New Roman" w:cs="Times New Roman"/>
          <w:sz w:val="24"/>
          <w:szCs w:val="24"/>
        </w:rPr>
        <w:t xml:space="preserve"> hogyan tudják majd megfelelően implementálni az új szabályokat.</w:t>
      </w:r>
    </w:p>
    <w:p w:rsidR="00FF0C9A" w:rsidRPr="00AC5D57"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Az IFRS 9 értékvesztési modelljében a várható hitelezési veszteségek és a hitelezési kockázat mérése számít kritikusnak elsősorban. A gazdálkodó egységeknek a kezdeti megjelenítéskor, illetve sokszor már évekkel előre meg kell tudni</w:t>
      </w:r>
      <w:r>
        <w:rPr>
          <w:rFonts w:ascii="Times New Roman" w:hAnsi="Times New Roman" w:cs="Times New Roman"/>
          <w:sz w:val="24"/>
          <w:szCs w:val="24"/>
        </w:rPr>
        <w:t>uk</w:t>
      </w:r>
      <w:r w:rsidRPr="00AC5D57">
        <w:rPr>
          <w:rFonts w:ascii="Times New Roman" w:hAnsi="Times New Roman" w:cs="Times New Roman"/>
          <w:sz w:val="24"/>
          <w:szCs w:val="24"/>
        </w:rPr>
        <w:t xml:space="preserve"> becsülni a várható hitelezési veszteségeket, ami megköveteli az információk hatékony előteremtését, gyűjtését, feldolgozását, stb. E</w:t>
      </w:r>
      <w:r>
        <w:rPr>
          <w:rFonts w:ascii="Times New Roman" w:hAnsi="Times New Roman" w:cs="Times New Roman"/>
          <w:sz w:val="24"/>
          <w:szCs w:val="24"/>
        </w:rPr>
        <w:t>hhez</w:t>
      </w:r>
      <w:r w:rsidRPr="00AC5D57">
        <w:rPr>
          <w:rFonts w:ascii="Times New Roman" w:hAnsi="Times New Roman" w:cs="Times New Roman"/>
          <w:sz w:val="24"/>
          <w:szCs w:val="24"/>
        </w:rPr>
        <w:t xml:space="preserve"> természetesen </w:t>
      </w:r>
      <w:r>
        <w:rPr>
          <w:rFonts w:ascii="Times New Roman" w:hAnsi="Times New Roman" w:cs="Times New Roman"/>
          <w:sz w:val="24"/>
          <w:szCs w:val="24"/>
        </w:rPr>
        <w:t xml:space="preserve">olyan </w:t>
      </w:r>
      <w:r w:rsidRPr="00AC5D57">
        <w:rPr>
          <w:rFonts w:ascii="Times New Roman" w:hAnsi="Times New Roman" w:cs="Times New Roman"/>
          <w:sz w:val="24"/>
          <w:szCs w:val="24"/>
        </w:rPr>
        <w:t xml:space="preserve">bonyolult és </w:t>
      </w:r>
      <w:r w:rsidRPr="00AC5D57">
        <w:rPr>
          <w:rFonts w:ascii="Times New Roman" w:hAnsi="Times New Roman" w:cs="Times New Roman"/>
          <w:b/>
          <w:sz w:val="24"/>
          <w:szCs w:val="24"/>
        </w:rPr>
        <w:t xml:space="preserve">összetett </w:t>
      </w:r>
      <w:r>
        <w:rPr>
          <w:rFonts w:ascii="Times New Roman" w:hAnsi="Times New Roman" w:cs="Times New Roman"/>
          <w:b/>
          <w:sz w:val="24"/>
          <w:szCs w:val="24"/>
        </w:rPr>
        <w:t xml:space="preserve">informatikai </w:t>
      </w:r>
      <w:r w:rsidRPr="00AC5D57">
        <w:rPr>
          <w:rFonts w:ascii="Times New Roman" w:hAnsi="Times New Roman" w:cs="Times New Roman"/>
          <w:b/>
          <w:sz w:val="24"/>
          <w:szCs w:val="24"/>
        </w:rPr>
        <w:t>rendszerek</w:t>
      </w:r>
      <w:r w:rsidRPr="00AC5D57">
        <w:rPr>
          <w:rFonts w:ascii="Times New Roman" w:hAnsi="Times New Roman" w:cs="Times New Roman"/>
          <w:sz w:val="24"/>
          <w:szCs w:val="24"/>
        </w:rPr>
        <w:t xml:space="preserve"> </w:t>
      </w:r>
      <w:r>
        <w:rPr>
          <w:rFonts w:ascii="Times New Roman" w:hAnsi="Times New Roman" w:cs="Times New Roman"/>
          <w:sz w:val="24"/>
          <w:szCs w:val="24"/>
        </w:rPr>
        <w:t>szükségesek</w:t>
      </w:r>
      <w:r w:rsidRPr="00AC5D57">
        <w:rPr>
          <w:rFonts w:ascii="Times New Roman" w:hAnsi="Times New Roman" w:cs="Times New Roman"/>
          <w:sz w:val="24"/>
          <w:szCs w:val="24"/>
        </w:rPr>
        <w:t xml:space="preserve">, melyek megfelelően tudják kezelni a </w:t>
      </w:r>
      <w:r w:rsidRPr="001E0AC3">
        <w:rPr>
          <w:rFonts w:ascii="Times New Roman" w:hAnsi="Times New Roman" w:cs="Times New Roman"/>
          <w:sz w:val="24"/>
          <w:szCs w:val="24"/>
        </w:rPr>
        <w:t xml:space="preserve">becslésekhez, várható hitelezési veszteségek méréséhez tartozó sokféle információ- és adatállományt. </w:t>
      </w:r>
      <w:r>
        <w:rPr>
          <w:rFonts w:ascii="Times New Roman" w:hAnsi="Times New Roman" w:cs="Times New Roman"/>
          <w:sz w:val="24"/>
          <w:szCs w:val="24"/>
        </w:rPr>
        <w:t>Újra kell értelmezni a folyamatokat, n</w:t>
      </w:r>
      <w:r w:rsidRPr="001E0AC3">
        <w:rPr>
          <w:rFonts w:ascii="Times New Roman" w:hAnsi="Times New Roman" w:cs="Times New Roman"/>
          <w:sz w:val="24"/>
          <w:szCs w:val="24"/>
        </w:rPr>
        <w:t>em is beszélve a koordináláshoz szükséges, ezzel összefüggésben lévő megfelelő kontrollok kialakításáról. Szintén elengedhetetlen lesz a jövőben a folyamatos rendszerfejlesztés, tesztelés, felülvizsgálat, stb.</w:t>
      </w:r>
      <w:r>
        <w:rPr>
          <w:rFonts w:ascii="Times New Roman" w:hAnsi="Times New Roman" w:cs="Times New Roman"/>
          <w:sz w:val="24"/>
          <w:szCs w:val="24"/>
        </w:rPr>
        <w:t>, ami további nehezítő körülményt jelent a vállalkozások sikeres működésében</w:t>
      </w:r>
      <w:r w:rsidRPr="000573A3">
        <w:rPr>
          <w:rFonts w:ascii="Times New Roman" w:hAnsi="Times New Roman" w:cs="Times New Roman"/>
          <w:sz w:val="24"/>
          <w:szCs w:val="24"/>
        </w:rPr>
        <w:t xml:space="preserve">. A pénzügyi és számviteli munkatársak IFRS képzésén kívül, be kell vonni a képzésbe a kapcsolódó területek munkatársait is (HR, </w:t>
      </w:r>
      <w:proofErr w:type="spellStart"/>
      <w:r w:rsidRPr="000573A3">
        <w:rPr>
          <w:rFonts w:ascii="Times New Roman" w:hAnsi="Times New Roman" w:cs="Times New Roman"/>
          <w:sz w:val="24"/>
          <w:szCs w:val="24"/>
        </w:rPr>
        <w:t>treasury</w:t>
      </w:r>
      <w:proofErr w:type="spellEnd"/>
      <w:r w:rsidRPr="000573A3">
        <w:rPr>
          <w:rFonts w:ascii="Times New Roman" w:hAnsi="Times New Roman" w:cs="Times New Roman"/>
          <w:sz w:val="24"/>
          <w:szCs w:val="24"/>
        </w:rPr>
        <w:t xml:space="preserve">, adó és IT). Egyértelműen látható, hogy </w:t>
      </w:r>
      <w:r w:rsidRPr="000573A3">
        <w:rPr>
          <w:rFonts w:ascii="Times New Roman" w:hAnsi="Times New Roman" w:cs="Times New Roman"/>
          <w:b/>
          <w:sz w:val="24"/>
          <w:szCs w:val="24"/>
        </w:rPr>
        <w:t>hatalmas</w:t>
      </w:r>
      <w:r w:rsidRPr="001E0AC3">
        <w:rPr>
          <w:rFonts w:ascii="Times New Roman" w:hAnsi="Times New Roman" w:cs="Times New Roman"/>
          <w:b/>
          <w:sz w:val="24"/>
          <w:szCs w:val="24"/>
        </w:rPr>
        <w:t xml:space="preserve"> anyagi vonzata</w:t>
      </w:r>
      <w:r w:rsidRPr="001E0AC3">
        <w:rPr>
          <w:rFonts w:ascii="Times New Roman" w:hAnsi="Times New Roman" w:cs="Times New Roman"/>
          <w:sz w:val="24"/>
          <w:szCs w:val="24"/>
        </w:rPr>
        <w:t xml:space="preserve"> lesz az érintett gazdasági egységek életében az új értékvesztési modell bevezetésének/átállásának és számos erőforrásukat</w:t>
      </w:r>
      <w:r>
        <w:rPr>
          <w:rFonts w:ascii="Times New Roman" w:hAnsi="Times New Roman" w:cs="Times New Roman"/>
          <w:sz w:val="24"/>
          <w:szCs w:val="24"/>
        </w:rPr>
        <w:t xml:space="preserve"> fel</w:t>
      </w:r>
      <w:r w:rsidRPr="00AC5D57">
        <w:rPr>
          <w:rFonts w:ascii="Times New Roman" w:hAnsi="Times New Roman" w:cs="Times New Roman"/>
          <w:sz w:val="24"/>
          <w:szCs w:val="24"/>
        </w:rPr>
        <w:t>emészti.</w:t>
      </w:r>
    </w:p>
    <w:p w:rsidR="00FF0C9A"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Annak érdekében, hogy a várható értékvesztési ráfordítások minél előbb megjelenjenek a könyvekben, számos </w:t>
      </w:r>
      <w:r w:rsidRPr="00AC5D57">
        <w:rPr>
          <w:rFonts w:ascii="Times New Roman" w:hAnsi="Times New Roman" w:cs="Times New Roman"/>
          <w:b/>
          <w:sz w:val="24"/>
          <w:szCs w:val="24"/>
        </w:rPr>
        <w:t>szubjektív elemmel</w:t>
      </w:r>
      <w:r w:rsidRPr="00AC5D57">
        <w:rPr>
          <w:rFonts w:ascii="Times New Roman" w:hAnsi="Times New Roman" w:cs="Times New Roman"/>
          <w:sz w:val="24"/>
          <w:szCs w:val="24"/>
        </w:rPr>
        <w:t xml:space="preserve"> – mint például a becslések, bizonyos fogalmak (szignifikáns növekedés, nemfizetés) egyéni definiálása – kellett élni a szabályalkotóknak, nem tudtak mindent egyértelműen és objektívan lefektetni. Ennek és az egyes gazdálkodó egységek által alkalmazott különböző kockázatkezelési módszereknek is köszönhetően könnyen előfordulhat majd, hogy a hasonló pénzügyi eszközök és várható hitelezési veszteségek máshogyan fognak megjelenni a gazdálkodó egységek könyveiben. Így felmerülhet az a kérdés is, hogy az egyes pénzügyi kimutatások milyen mértékben maradnak összehasonlíthatóak egymással.</w:t>
      </w:r>
      <w:r>
        <w:rPr>
          <w:rFonts w:ascii="Times New Roman" w:hAnsi="Times New Roman" w:cs="Times New Roman"/>
          <w:sz w:val="24"/>
          <w:szCs w:val="24"/>
        </w:rPr>
        <w:t xml:space="preserve"> </w:t>
      </w:r>
    </w:p>
    <w:p w:rsidR="00FF0C9A" w:rsidRPr="00AC5D57"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Tovább nehezíti az alkalmazást, hogy a várható hitelezési veszt</w:t>
      </w:r>
      <w:r>
        <w:rPr>
          <w:rFonts w:ascii="Times New Roman" w:hAnsi="Times New Roman" w:cs="Times New Roman"/>
          <w:sz w:val="24"/>
          <w:szCs w:val="24"/>
        </w:rPr>
        <w:t xml:space="preserve">eségeket a pénz időértéke miatt </w:t>
      </w:r>
      <w:r w:rsidRPr="00AC5D57">
        <w:rPr>
          <w:rFonts w:ascii="Times New Roman" w:hAnsi="Times New Roman" w:cs="Times New Roman"/>
          <w:sz w:val="24"/>
          <w:szCs w:val="24"/>
        </w:rPr>
        <w:t xml:space="preserve">diszkontálni kell a jelenre, számolni kell </w:t>
      </w:r>
      <w:r>
        <w:rPr>
          <w:rFonts w:ascii="Times New Roman" w:hAnsi="Times New Roman" w:cs="Times New Roman"/>
          <w:sz w:val="24"/>
          <w:szCs w:val="24"/>
        </w:rPr>
        <w:t>„</w:t>
      </w:r>
      <w:r w:rsidRPr="00AC5D57">
        <w:rPr>
          <w:rFonts w:ascii="Times New Roman" w:hAnsi="Times New Roman" w:cs="Times New Roman"/>
          <w:sz w:val="24"/>
          <w:szCs w:val="24"/>
        </w:rPr>
        <w:t>erősen</w:t>
      </w:r>
      <w:r>
        <w:rPr>
          <w:rFonts w:ascii="Times New Roman" w:hAnsi="Times New Roman" w:cs="Times New Roman"/>
          <w:sz w:val="24"/>
          <w:szCs w:val="24"/>
        </w:rPr>
        <w:t>”</w:t>
      </w:r>
      <w:r w:rsidRPr="00AC5D57">
        <w:rPr>
          <w:rFonts w:ascii="Times New Roman" w:hAnsi="Times New Roman" w:cs="Times New Roman"/>
          <w:sz w:val="24"/>
          <w:szCs w:val="24"/>
        </w:rPr>
        <w:t xml:space="preserve"> az </w:t>
      </w:r>
      <w:r w:rsidRPr="00AC5D57">
        <w:rPr>
          <w:rFonts w:ascii="Times New Roman" w:hAnsi="Times New Roman" w:cs="Times New Roman"/>
          <w:b/>
          <w:sz w:val="24"/>
          <w:szCs w:val="24"/>
        </w:rPr>
        <w:t>időtényezővel</w:t>
      </w:r>
      <w:r w:rsidRPr="00AC5D57">
        <w:rPr>
          <w:rFonts w:ascii="Times New Roman" w:hAnsi="Times New Roman" w:cs="Times New Roman"/>
          <w:sz w:val="24"/>
          <w:szCs w:val="24"/>
        </w:rPr>
        <w:t xml:space="preserve">. Ez azért problémás, mert így nem csak a várható hitelezési veszteségek nagyságát kell megbecsülni, hanem azok felmerülésének időpontját is. Nem mindegy, hogy egy várható hitelezési veszteséget például a jövő év májusára vagy szeptemberére kalkulálunk. Ez tovább növelheti a szubjektivitást, bizonytalanságot az elszámolások terén. </w:t>
      </w:r>
    </w:p>
    <w:p w:rsidR="00FF0C9A" w:rsidRPr="00AC5D57"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Nem szabad elfelejteni azt sem, hogy a várható hitelezési veszteségek mérésénél az előrejelzések szintén be</w:t>
      </w:r>
      <w:r>
        <w:rPr>
          <w:rFonts w:ascii="Times New Roman" w:hAnsi="Times New Roman" w:cs="Times New Roman"/>
          <w:sz w:val="24"/>
          <w:szCs w:val="24"/>
        </w:rPr>
        <w:t>építésre kerültek</w:t>
      </w:r>
      <w:r w:rsidRPr="00AC5D57">
        <w:rPr>
          <w:rFonts w:ascii="Times New Roman" w:hAnsi="Times New Roman" w:cs="Times New Roman"/>
          <w:sz w:val="24"/>
          <w:szCs w:val="24"/>
        </w:rPr>
        <w:t xml:space="preserve"> a számításokba, így az ezekben bekövetkező változások komoly </w:t>
      </w:r>
      <w:proofErr w:type="spellStart"/>
      <w:r w:rsidRPr="00AC5D57">
        <w:rPr>
          <w:rFonts w:ascii="Times New Roman" w:hAnsi="Times New Roman" w:cs="Times New Roman"/>
          <w:sz w:val="24"/>
          <w:szCs w:val="24"/>
        </w:rPr>
        <w:t>volatilitást</w:t>
      </w:r>
      <w:proofErr w:type="spellEnd"/>
      <w:r w:rsidRPr="00AC5D57">
        <w:rPr>
          <w:rFonts w:ascii="Times New Roman" w:hAnsi="Times New Roman" w:cs="Times New Roman"/>
          <w:sz w:val="24"/>
          <w:szCs w:val="24"/>
        </w:rPr>
        <w:t xml:space="preserve"> idézhetnek elő a várható hitelezési veszteségekben, és így az eredményben is. A ráfordítások korábbi megjelenítése miatt az elszámolt értékvesztés nagysága növekedni </w:t>
      </w:r>
      <w:r>
        <w:rPr>
          <w:rFonts w:ascii="Times New Roman" w:hAnsi="Times New Roman" w:cs="Times New Roman"/>
          <w:sz w:val="24"/>
          <w:szCs w:val="24"/>
        </w:rPr>
        <w:t xml:space="preserve">fog </w:t>
      </w:r>
      <w:r w:rsidRPr="00AC5D57">
        <w:rPr>
          <w:rFonts w:ascii="Times New Roman" w:hAnsi="Times New Roman" w:cs="Times New Roman"/>
          <w:sz w:val="24"/>
          <w:szCs w:val="24"/>
        </w:rPr>
        <w:t xml:space="preserve">az előző modellhez képest, így az esetleges hibák jelentősebb hatással lehetnek az eredményre és a gazdálkodó egységek tőkéje nagyobb mértékben lesz igénybe véve. Ennek, illetve a szigorú tőkeszabályozásnak (főleg a bankoknál) köszönhetően </w:t>
      </w:r>
      <w:r w:rsidRPr="00AC5D57">
        <w:rPr>
          <w:rFonts w:ascii="Times New Roman" w:hAnsi="Times New Roman" w:cs="Times New Roman"/>
          <w:b/>
          <w:sz w:val="24"/>
          <w:szCs w:val="24"/>
        </w:rPr>
        <w:t>nagyobb tartalékok</w:t>
      </w:r>
      <w:r w:rsidRPr="00AC5D57">
        <w:rPr>
          <w:rFonts w:ascii="Times New Roman" w:hAnsi="Times New Roman" w:cs="Times New Roman"/>
          <w:sz w:val="24"/>
          <w:szCs w:val="24"/>
        </w:rPr>
        <w:t xml:space="preserve"> tartása </w:t>
      </w:r>
      <w:r>
        <w:rPr>
          <w:rFonts w:ascii="Times New Roman" w:hAnsi="Times New Roman" w:cs="Times New Roman"/>
          <w:sz w:val="24"/>
          <w:szCs w:val="24"/>
        </w:rPr>
        <w:t xml:space="preserve">válik </w:t>
      </w:r>
      <w:r w:rsidRPr="00AC5D57">
        <w:rPr>
          <w:rFonts w:ascii="Times New Roman" w:hAnsi="Times New Roman" w:cs="Times New Roman"/>
          <w:sz w:val="24"/>
          <w:szCs w:val="24"/>
        </w:rPr>
        <w:t>szükségessé.</w:t>
      </w:r>
    </w:p>
    <w:p w:rsidR="00FF0C9A" w:rsidRPr="00AC5D57"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 xml:space="preserve">Látható, hogy az új értékvesztési modell gyakorlatba ültetése </w:t>
      </w:r>
      <w:r>
        <w:rPr>
          <w:rFonts w:ascii="Times New Roman" w:hAnsi="Times New Roman" w:cs="Times New Roman"/>
          <w:sz w:val="24"/>
          <w:szCs w:val="24"/>
        </w:rPr>
        <w:t>körül sok a bizonytalanság, a</w:t>
      </w:r>
      <w:r w:rsidRPr="00AC5D57">
        <w:rPr>
          <w:rFonts w:ascii="Times New Roman" w:hAnsi="Times New Roman" w:cs="Times New Roman"/>
          <w:sz w:val="24"/>
          <w:szCs w:val="24"/>
        </w:rPr>
        <w:t xml:space="preserve"> „ködös” </w:t>
      </w:r>
      <w:r>
        <w:rPr>
          <w:rFonts w:ascii="Times New Roman" w:hAnsi="Times New Roman" w:cs="Times New Roman"/>
          <w:sz w:val="24"/>
          <w:szCs w:val="24"/>
        </w:rPr>
        <w:t>terület</w:t>
      </w:r>
      <w:r w:rsidRPr="00AC5D57">
        <w:rPr>
          <w:rFonts w:ascii="Times New Roman" w:hAnsi="Times New Roman" w:cs="Times New Roman"/>
          <w:sz w:val="24"/>
          <w:szCs w:val="24"/>
        </w:rPr>
        <w:t xml:space="preserve"> </w:t>
      </w:r>
      <w:r>
        <w:rPr>
          <w:rFonts w:ascii="Times New Roman" w:hAnsi="Times New Roman" w:cs="Times New Roman"/>
          <w:sz w:val="24"/>
          <w:szCs w:val="24"/>
        </w:rPr>
        <w:t xml:space="preserve">és </w:t>
      </w:r>
      <w:r w:rsidRPr="00AC5D57">
        <w:rPr>
          <w:rFonts w:ascii="Times New Roman" w:hAnsi="Times New Roman" w:cs="Times New Roman"/>
          <w:sz w:val="24"/>
          <w:szCs w:val="24"/>
        </w:rPr>
        <w:t>sok új eddig nem jelentkező kérdést fog felvetni. Én eléggé szkeptikus vagyok ezt illetően, szerintem majdnem lehetetlen tökéletesen implementálni az újdonsült modellt (a hangsúly a tökéletesen van), az IFRS 9 előírásainak meg lehet felelni, csak kérdés, hogy mennyivel lesz hatékonyabb így az értékvesztés elszámolása.</w:t>
      </w:r>
    </w:p>
    <w:p w:rsidR="00FF0C9A" w:rsidRPr="00AC5D57" w:rsidRDefault="00FF0C9A" w:rsidP="00FF0C9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J</w:t>
      </w:r>
      <w:r w:rsidRPr="00AC5D57">
        <w:rPr>
          <w:rFonts w:ascii="Times New Roman" w:hAnsi="Times New Roman" w:cs="Times New Roman"/>
          <w:sz w:val="24"/>
          <w:szCs w:val="24"/>
        </w:rPr>
        <w:t xml:space="preserve">ogosan merül </w:t>
      </w:r>
      <w:r>
        <w:rPr>
          <w:rFonts w:ascii="Times New Roman" w:hAnsi="Times New Roman" w:cs="Times New Roman"/>
          <w:sz w:val="24"/>
          <w:szCs w:val="24"/>
        </w:rPr>
        <w:t xml:space="preserve">fel </w:t>
      </w:r>
      <w:r w:rsidRPr="00AC5D57">
        <w:rPr>
          <w:rFonts w:ascii="Times New Roman" w:hAnsi="Times New Roman" w:cs="Times New Roman"/>
          <w:sz w:val="24"/>
          <w:szCs w:val="24"/>
        </w:rPr>
        <w:t>a kérdés, hogy előrelép</w:t>
      </w:r>
      <w:r>
        <w:rPr>
          <w:rFonts w:ascii="Times New Roman" w:hAnsi="Times New Roman" w:cs="Times New Roman"/>
          <w:sz w:val="24"/>
          <w:szCs w:val="24"/>
        </w:rPr>
        <w:t>és</w:t>
      </w:r>
      <w:r w:rsidRPr="00AC5D57">
        <w:rPr>
          <w:rFonts w:ascii="Times New Roman" w:hAnsi="Times New Roman" w:cs="Times New Roman"/>
          <w:sz w:val="24"/>
          <w:szCs w:val="24"/>
        </w:rPr>
        <w:t>-e az IFRS 9 értékvesztési modelljének megszületés</w:t>
      </w:r>
      <w:r>
        <w:rPr>
          <w:rFonts w:ascii="Times New Roman" w:hAnsi="Times New Roman" w:cs="Times New Roman"/>
          <w:sz w:val="24"/>
          <w:szCs w:val="24"/>
        </w:rPr>
        <w:t>e</w:t>
      </w:r>
      <w:r w:rsidRPr="00AC5D57">
        <w:rPr>
          <w:rFonts w:ascii="Times New Roman" w:hAnsi="Times New Roman" w:cs="Times New Roman"/>
          <w:sz w:val="24"/>
          <w:szCs w:val="24"/>
        </w:rPr>
        <w:t>?</w:t>
      </w:r>
      <w:r>
        <w:rPr>
          <w:rFonts w:ascii="Times New Roman" w:hAnsi="Times New Roman" w:cs="Times New Roman"/>
          <w:sz w:val="24"/>
          <w:szCs w:val="24"/>
        </w:rPr>
        <w:t xml:space="preserve"> Véleményem szerint e</w:t>
      </w:r>
      <w:r w:rsidRPr="00AC5D57">
        <w:rPr>
          <w:rFonts w:ascii="Times New Roman" w:hAnsi="Times New Roman" w:cs="Times New Roman"/>
          <w:sz w:val="24"/>
          <w:szCs w:val="24"/>
        </w:rPr>
        <w:t>gy könnyebben gyakorlatba ültethető, kevesebb becslést tartalmazó értékvesztési modell nagyobb előrelépés</w:t>
      </w:r>
      <w:r>
        <w:rPr>
          <w:rFonts w:ascii="Times New Roman" w:hAnsi="Times New Roman" w:cs="Times New Roman"/>
          <w:sz w:val="24"/>
          <w:szCs w:val="24"/>
        </w:rPr>
        <w:t>t jelentett</w:t>
      </w:r>
      <w:r w:rsidRPr="00AC5D57">
        <w:rPr>
          <w:rFonts w:ascii="Times New Roman" w:hAnsi="Times New Roman" w:cs="Times New Roman"/>
          <w:sz w:val="24"/>
          <w:szCs w:val="24"/>
        </w:rPr>
        <w:t xml:space="preserve"> volna. A mostani eléggé </w:t>
      </w:r>
      <w:r>
        <w:rPr>
          <w:rFonts w:ascii="Times New Roman" w:hAnsi="Times New Roman" w:cs="Times New Roman"/>
          <w:sz w:val="24"/>
          <w:szCs w:val="24"/>
        </w:rPr>
        <w:t xml:space="preserve">óvatos, túldimenzionálja </w:t>
      </w:r>
      <w:r w:rsidRPr="00AC5D57">
        <w:rPr>
          <w:rFonts w:ascii="Times New Roman" w:hAnsi="Times New Roman" w:cs="Times New Roman"/>
          <w:sz w:val="24"/>
          <w:szCs w:val="24"/>
        </w:rPr>
        <w:t xml:space="preserve">a kockázatokat, nagyon elméleti alapú. Úgy érzem, a szabályalkotók rossz oldalról </w:t>
      </w:r>
      <w:r>
        <w:rPr>
          <w:rFonts w:ascii="Times New Roman" w:hAnsi="Times New Roman" w:cs="Times New Roman"/>
          <w:sz w:val="24"/>
          <w:szCs w:val="24"/>
        </w:rPr>
        <w:t>közelítették</w:t>
      </w:r>
      <w:r w:rsidRPr="00AC5D57">
        <w:rPr>
          <w:rFonts w:ascii="Times New Roman" w:hAnsi="Times New Roman" w:cs="Times New Roman"/>
          <w:sz w:val="24"/>
          <w:szCs w:val="24"/>
        </w:rPr>
        <w:t xml:space="preserve"> meg a problémát, inkább a gyakorlat</w:t>
      </w:r>
      <w:r>
        <w:rPr>
          <w:rFonts w:ascii="Times New Roman" w:hAnsi="Times New Roman" w:cs="Times New Roman"/>
          <w:sz w:val="24"/>
          <w:szCs w:val="24"/>
        </w:rPr>
        <w:t xml:space="preserve"> </w:t>
      </w:r>
      <w:r w:rsidRPr="00AC5D57">
        <w:rPr>
          <w:rFonts w:ascii="Times New Roman" w:hAnsi="Times New Roman" w:cs="Times New Roman"/>
          <w:sz w:val="24"/>
          <w:szCs w:val="24"/>
        </w:rPr>
        <w:t>fel</w:t>
      </w:r>
      <w:r>
        <w:rPr>
          <w:rFonts w:ascii="Times New Roman" w:hAnsi="Times New Roman" w:cs="Times New Roman"/>
          <w:sz w:val="24"/>
          <w:szCs w:val="24"/>
        </w:rPr>
        <w:t>ő</w:t>
      </w:r>
      <w:r w:rsidRPr="00AC5D57">
        <w:rPr>
          <w:rFonts w:ascii="Times New Roman" w:hAnsi="Times New Roman" w:cs="Times New Roman"/>
          <w:sz w:val="24"/>
          <w:szCs w:val="24"/>
        </w:rPr>
        <w:t>l kellett volna</w:t>
      </w:r>
      <w:r>
        <w:rPr>
          <w:rFonts w:ascii="Times New Roman" w:hAnsi="Times New Roman" w:cs="Times New Roman"/>
          <w:sz w:val="24"/>
          <w:szCs w:val="24"/>
        </w:rPr>
        <w:t xml:space="preserve"> kiindulniuk</w:t>
      </w:r>
      <w:r w:rsidRPr="00AC5D57">
        <w:rPr>
          <w:rFonts w:ascii="Times New Roman" w:hAnsi="Times New Roman" w:cs="Times New Roman"/>
          <w:sz w:val="24"/>
          <w:szCs w:val="24"/>
        </w:rPr>
        <w:t xml:space="preserve">. Hiába </w:t>
      </w:r>
      <w:r>
        <w:rPr>
          <w:rFonts w:ascii="Times New Roman" w:hAnsi="Times New Roman" w:cs="Times New Roman"/>
          <w:sz w:val="24"/>
          <w:szCs w:val="24"/>
        </w:rPr>
        <w:t>született</w:t>
      </w:r>
      <w:r w:rsidRPr="00AC5D57">
        <w:rPr>
          <w:rFonts w:ascii="Times New Roman" w:hAnsi="Times New Roman" w:cs="Times New Roman"/>
          <w:sz w:val="24"/>
          <w:szCs w:val="24"/>
        </w:rPr>
        <w:t xml:space="preserve"> egy „hibátlan” elméleti modell, ha a</w:t>
      </w:r>
      <w:r>
        <w:rPr>
          <w:rFonts w:ascii="Times New Roman" w:hAnsi="Times New Roman" w:cs="Times New Roman"/>
          <w:sz w:val="24"/>
          <w:szCs w:val="24"/>
        </w:rPr>
        <w:t>nnak kivitelezése</w:t>
      </w:r>
      <w:r w:rsidRPr="00AC5D57">
        <w:rPr>
          <w:rFonts w:ascii="Times New Roman" w:hAnsi="Times New Roman" w:cs="Times New Roman"/>
          <w:sz w:val="24"/>
          <w:szCs w:val="24"/>
        </w:rPr>
        <w:t xml:space="preserve"> nagyon nehéz és költséges. </w:t>
      </w:r>
      <w:r>
        <w:rPr>
          <w:rFonts w:ascii="Times New Roman" w:hAnsi="Times New Roman" w:cs="Times New Roman"/>
          <w:sz w:val="24"/>
          <w:szCs w:val="24"/>
        </w:rPr>
        <w:t xml:space="preserve">Az IFRS 9 </w:t>
      </w:r>
      <w:r w:rsidRPr="00AC5D57">
        <w:rPr>
          <w:rFonts w:ascii="Times New Roman" w:hAnsi="Times New Roman" w:cs="Times New Roman"/>
          <w:sz w:val="24"/>
          <w:szCs w:val="24"/>
        </w:rPr>
        <w:t>2018. január 1-jével lép kötelező jelleggel hatályba</w:t>
      </w:r>
      <w:r>
        <w:rPr>
          <w:rFonts w:ascii="Times New Roman" w:hAnsi="Times New Roman" w:cs="Times New Roman"/>
          <w:sz w:val="24"/>
          <w:szCs w:val="24"/>
        </w:rPr>
        <w:t>,</w:t>
      </w:r>
      <w:r w:rsidRPr="00AC5D57">
        <w:rPr>
          <w:rFonts w:ascii="Times New Roman" w:hAnsi="Times New Roman" w:cs="Times New Roman"/>
          <w:sz w:val="24"/>
          <w:szCs w:val="24"/>
        </w:rPr>
        <w:t xml:space="preserve"> addig még sok ideje van a gazdálkodó egységeknek felkészülni a változásra, </w:t>
      </w:r>
      <w:r>
        <w:rPr>
          <w:rFonts w:ascii="Times New Roman" w:hAnsi="Times New Roman" w:cs="Times New Roman"/>
          <w:sz w:val="24"/>
          <w:szCs w:val="24"/>
        </w:rPr>
        <w:t xml:space="preserve">elvégezni a szükséges előkészületeket, </w:t>
      </w:r>
      <w:r w:rsidRPr="00AC5D57">
        <w:rPr>
          <w:rFonts w:ascii="Times New Roman" w:hAnsi="Times New Roman" w:cs="Times New Roman"/>
          <w:sz w:val="24"/>
          <w:szCs w:val="24"/>
        </w:rPr>
        <w:t xml:space="preserve">kifejleszteni az új rendszereket. Azonban ez rengeteg pénzt és erőforrást fog felemészteni, és </w:t>
      </w:r>
      <w:r w:rsidRPr="00AC5D57">
        <w:rPr>
          <w:rFonts w:ascii="Times New Roman" w:hAnsi="Times New Roman" w:cs="Times New Roman"/>
          <w:b/>
          <w:sz w:val="24"/>
          <w:szCs w:val="24"/>
        </w:rPr>
        <w:t>csak évekkel később</w:t>
      </w:r>
      <w:r w:rsidRPr="00AC5D57">
        <w:rPr>
          <w:rFonts w:ascii="Times New Roman" w:hAnsi="Times New Roman" w:cs="Times New Roman"/>
          <w:sz w:val="24"/>
          <w:szCs w:val="24"/>
        </w:rPr>
        <w:t xml:space="preserve"> </w:t>
      </w:r>
      <w:r w:rsidRPr="00AC5D57">
        <w:rPr>
          <w:rFonts w:ascii="Times New Roman" w:hAnsi="Times New Roman" w:cs="Times New Roman"/>
          <w:b/>
          <w:sz w:val="24"/>
          <w:szCs w:val="24"/>
        </w:rPr>
        <w:t>fog kiderülni, hogy vajon megérte-e, jól működik-e, életképes-e egyáltalán az új modell.</w:t>
      </w:r>
    </w:p>
    <w:p w:rsidR="00FF0C9A" w:rsidRPr="00AC5D57" w:rsidRDefault="00FF0C9A" w:rsidP="00FF0C9A">
      <w:pPr>
        <w:spacing w:after="120" w:line="360" w:lineRule="auto"/>
        <w:jc w:val="both"/>
        <w:rPr>
          <w:rFonts w:ascii="Times New Roman" w:hAnsi="Times New Roman" w:cs="Times New Roman"/>
          <w:sz w:val="24"/>
          <w:szCs w:val="24"/>
        </w:rPr>
      </w:pPr>
      <w:r w:rsidRPr="00AC5D57">
        <w:rPr>
          <w:rFonts w:ascii="Times New Roman" w:hAnsi="Times New Roman" w:cs="Times New Roman"/>
          <w:sz w:val="24"/>
          <w:szCs w:val="24"/>
        </w:rPr>
        <w:t>A sok negatívum ellenére úgy vélem, hogy a gondolat és az irány is jó az értékvesztések elszámolásával kapcsolatban, csak a kivitelez</w:t>
      </w:r>
      <w:r>
        <w:rPr>
          <w:rFonts w:ascii="Times New Roman" w:hAnsi="Times New Roman" w:cs="Times New Roman"/>
          <w:sz w:val="24"/>
          <w:szCs w:val="24"/>
        </w:rPr>
        <w:t>hetőség</w:t>
      </w:r>
      <w:r w:rsidRPr="00AC5D57">
        <w:rPr>
          <w:rFonts w:ascii="Times New Roman" w:hAnsi="Times New Roman" w:cs="Times New Roman"/>
          <w:sz w:val="24"/>
          <w:szCs w:val="24"/>
        </w:rPr>
        <w:t xml:space="preserve"> </w:t>
      </w:r>
      <w:r>
        <w:rPr>
          <w:rFonts w:ascii="Times New Roman" w:hAnsi="Times New Roman" w:cs="Times New Roman"/>
          <w:sz w:val="24"/>
          <w:szCs w:val="24"/>
        </w:rPr>
        <w:t>kérdéses</w:t>
      </w:r>
      <w:r w:rsidRPr="00AC5D57">
        <w:rPr>
          <w:rFonts w:ascii="Times New Roman" w:hAnsi="Times New Roman" w:cs="Times New Roman"/>
          <w:sz w:val="24"/>
          <w:szCs w:val="24"/>
        </w:rPr>
        <w:t xml:space="preserve">, </w:t>
      </w:r>
      <w:r>
        <w:rPr>
          <w:rFonts w:ascii="Times New Roman" w:hAnsi="Times New Roman" w:cs="Times New Roman"/>
          <w:sz w:val="24"/>
          <w:szCs w:val="24"/>
        </w:rPr>
        <w:t xml:space="preserve">mert </w:t>
      </w:r>
      <w:r w:rsidRPr="00AC5D57">
        <w:rPr>
          <w:rFonts w:ascii="Times New Roman" w:hAnsi="Times New Roman" w:cs="Times New Roman"/>
          <w:sz w:val="24"/>
          <w:szCs w:val="24"/>
        </w:rPr>
        <w:t xml:space="preserve">túl nagy lépés történt. Szerencsésebb lett volna </w:t>
      </w:r>
      <w:r w:rsidRPr="00AC5D57">
        <w:rPr>
          <w:rFonts w:ascii="Times New Roman" w:hAnsi="Times New Roman" w:cs="Times New Roman"/>
          <w:b/>
          <w:sz w:val="24"/>
          <w:szCs w:val="24"/>
        </w:rPr>
        <w:t>kisebb lépték</w:t>
      </w:r>
      <w:r>
        <w:rPr>
          <w:rFonts w:ascii="Times New Roman" w:hAnsi="Times New Roman" w:cs="Times New Roman"/>
          <w:b/>
          <w:sz w:val="24"/>
          <w:szCs w:val="24"/>
        </w:rPr>
        <w:t>ben</w:t>
      </w:r>
      <w:r w:rsidRPr="00AC5D57">
        <w:rPr>
          <w:rFonts w:ascii="Times New Roman" w:hAnsi="Times New Roman" w:cs="Times New Roman"/>
          <w:sz w:val="24"/>
          <w:szCs w:val="24"/>
        </w:rPr>
        <w:t xml:space="preserve"> haladni, folyamatosan fejleszteni a modellt</w:t>
      </w:r>
      <w:r>
        <w:rPr>
          <w:rFonts w:ascii="Times New Roman" w:hAnsi="Times New Roman" w:cs="Times New Roman"/>
          <w:sz w:val="24"/>
          <w:szCs w:val="24"/>
        </w:rPr>
        <w:t>, í</w:t>
      </w:r>
      <w:r w:rsidRPr="00AC5D57">
        <w:rPr>
          <w:rFonts w:ascii="Times New Roman" w:hAnsi="Times New Roman" w:cs="Times New Roman"/>
          <w:sz w:val="24"/>
          <w:szCs w:val="24"/>
        </w:rPr>
        <w:t>gy az átállás is jóval könnyebb lett volna, és nem ugrottunk volna egy hatalmasat mindenféle előzetes tapasztalat nélkül, hanem fokozatosan – korrigálva a megszerzett gyakorlati észrevételekkel – haladtunk volna előre. Azonban az IASB nem „kísérletezge</w:t>
      </w:r>
      <w:r>
        <w:rPr>
          <w:rFonts w:ascii="Times New Roman" w:hAnsi="Times New Roman" w:cs="Times New Roman"/>
          <w:sz w:val="24"/>
          <w:szCs w:val="24"/>
        </w:rPr>
        <w:t>thet</w:t>
      </w:r>
      <w:r w:rsidRPr="00AC5D57">
        <w:rPr>
          <w:rFonts w:ascii="Times New Roman" w:hAnsi="Times New Roman" w:cs="Times New Roman"/>
          <w:sz w:val="24"/>
          <w:szCs w:val="24"/>
        </w:rPr>
        <w:t xml:space="preserve">”, neki a standardok segítségével minél </w:t>
      </w:r>
      <w:proofErr w:type="spellStart"/>
      <w:r w:rsidRPr="00AC5D57">
        <w:rPr>
          <w:rFonts w:ascii="Times New Roman" w:hAnsi="Times New Roman" w:cs="Times New Roman"/>
          <w:sz w:val="24"/>
          <w:szCs w:val="24"/>
        </w:rPr>
        <w:t>egyértelműbb</w:t>
      </w:r>
      <w:proofErr w:type="spellEnd"/>
      <w:r w:rsidRPr="00AC5D57">
        <w:rPr>
          <w:rFonts w:ascii="Times New Roman" w:hAnsi="Times New Roman" w:cs="Times New Roman"/>
          <w:sz w:val="24"/>
          <w:szCs w:val="24"/>
        </w:rPr>
        <w:t xml:space="preserve"> szabályozást </w:t>
      </w:r>
      <w:r>
        <w:rPr>
          <w:rFonts w:ascii="Times New Roman" w:hAnsi="Times New Roman" w:cs="Times New Roman"/>
          <w:sz w:val="24"/>
          <w:szCs w:val="24"/>
        </w:rPr>
        <w:t xml:space="preserve">kell </w:t>
      </w:r>
      <w:r w:rsidRPr="00AC5D57">
        <w:rPr>
          <w:rFonts w:ascii="Times New Roman" w:hAnsi="Times New Roman" w:cs="Times New Roman"/>
          <w:sz w:val="24"/>
          <w:szCs w:val="24"/>
        </w:rPr>
        <w:t>adni</w:t>
      </w:r>
      <w:r>
        <w:rPr>
          <w:rFonts w:ascii="Times New Roman" w:hAnsi="Times New Roman" w:cs="Times New Roman"/>
          <w:sz w:val="24"/>
          <w:szCs w:val="24"/>
        </w:rPr>
        <w:t>a</w:t>
      </w:r>
      <w:r w:rsidRPr="00AC5D57">
        <w:rPr>
          <w:rFonts w:ascii="Times New Roman" w:hAnsi="Times New Roman" w:cs="Times New Roman"/>
          <w:sz w:val="24"/>
          <w:szCs w:val="24"/>
        </w:rPr>
        <w:t xml:space="preserve">. Emellett az is nyilvánvaló, hogy az általam javasolt módszer sokkal időigényesebb, költségesebb és nehezebben kontrollálható folyamat, nem tudom, mennyire </w:t>
      </w:r>
      <w:r>
        <w:rPr>
          <w:rFonts w:ascii="Times New Roman" w:hAnsi="Times New Roman" w:cs="Times New Roman"/>
          <w:sz w:val="24"/>
          <w:szCs w:val="24"/>
        </w:rPr>
        <w:t>lehetett volna</w:t>
      </w:r>
      <w:r w:rsidRPr="00AC5D57">
        <w:rPr>
          <w:rFonts w:ascii="Times New Roman" w:hAnsi="Times New Roman" w:cs="Times New Roman"/>
          <w:sz w:val="24"/>
          <w:szCs w:val="24"/>
        </w:rPr>
        <w:t xml:space="preserve"> egyáltalán reális alternatíva. </w:t>
      </w:r>
      <w:r>
        <w:rPr>
          <w:rFonts w:ascii="Times New Roman" w:hAnsi="Times New Roman" w:cs="Times New Roman"/>
          <w:sz w:val="24"/>
          <w:szCs w:val="24"/>
        </w:rPr>
        <w:t>M</w:t>
      </w:r>
      <w:r w:rsidRPr="00AC5D57">
        <w:rPr>
          <w:rFonts w:ascii="Times New Roman" w:hAnsi="Times New Roman" w:cs="Times New Roman"/>
          <w:sz w:val="24"/>
          <w:szCs w:val="24"/>
        </w:rPr>
        <w:t xml:space="preserve">int sok minden, ez sem ennyire egyszerű, nem fekete-fehér, de </w:t>
      </w:r>
      <w:r>
        <w:rPr>
          <w:rFonts w:ascii="Times New Roman" w:hAnsi="Times New Roman" w:cs="Times New Roman"/>
          <w:sz w:val="24"/>
          <w:szCs w:val="24"/>
        </w:rPr>
        <w:t xml:space="preserve">a szabályalkotóknak - a megvalósíthatóságot is szem előtt tartva - </w:t>
      </w:r>
      <w:r w:rsidRPr="00AC5D57">
        <w:rPr>
          <w:rFonts w:ascii="Times New Roman" w:hAnsi="Times New Roman" w:cs="Times New Roman"/>
          <w:sz w:val="24"/>
          <w:szCs w:val="24"/>
        </w:rPr>
        <w:t xml:space="preserve">egy arany középutat kellett volna keresni a gyakorlatiasság és az elmélet között. Egy biztos, hogy az új értékvesztési </w:t>
      </w:r>
      <w:proofErr w:type="gramStart"/>
      <w:r w:rsidRPr="00AC5D57">
        <w:rPr>
          <w:rFonts w:ascii="Times New Roman" w:hAnsi="Times New Roman" w:cs="Times New Roman"/>
          <w:sz w:val="24"/>
          <w:szCs w:val="24"/>
        </w:rPr>
        <w:t xml:space="preserve">modell </w:t>
      </w:r>
      <w:r w:rsidRPr="00AC5D57">
        <w:rPr>
          <w:rFonts w:ascii="Times New Roman" w:hAnsi="Times New Roman" w:cs="Times New Roman"/>
          <w:b/>
          <w:sz w:val="24"/>
          <w:szCs w:val="24"/>
        </w:rPr>
        <w:t>jelentős</w:t>
      </w:r>
      <w:proofErr w:type="gramEnd"/>
      <w:r w:rsidRPr="00AC5D57">
        <w:rPr>
          <w:rFonts w:ascii="Times New Roman" w:hAnsi="Times New Roman" w:cs="Times New Roman"/>
          <w:b/>
          <w:sz w:val="24"/>
          <w:szCs w:val="24"/>
        </w:rPr>
        <w:t xml:space="preserve"> hatással</w:t>
      </w:r>
      <w:r w:rsidRPr="00AC5D57">
        <w:rPr>
          <w:rFonts w:ascii="Times New Roman" w:hAnsi="Times New Roman" w:cs="Times New Roman"/>
          <w:sz w:val="24"/>
          <w:szCs w:val="24"/>
        </w:rPr>
        <w:t xml:space="preserve"> lesz a bankok, biztosítók és más pénzügyi szektorban tevékenykedő gazdasági egységek életére, és természetesen az őket felügyelő, könyvvizsgáló társaságokéra is.</w:t>
      </w:r>
      <w:r w:rsidRPr="00AC5D57">
        <w:rPr>
          <w:rFonts w:ascii="Times New Roman" w:hAnsi="Times New Roman" w:cs="Times New Roman"/>
          <w:sz w:val="24"/>
          <w:szCs w:val="24"/>
        </w:rPr>
        <w:br w:type="page"/>
      </w:r>
    </w:p>
    <w:p w:rsidR="00FF0C9A" w:rsidRPr="00915650" w:rsidRDefault="00FF0C9A" w:rsidP="00FF0C9A">
      <w:pPr>
        <w:pStyle w:val="Cmsor1"/>
      </w:pPr>
      <w:bookmarkStart w:id="32" w:name="_Toc434181039"/>
      <w:bookmarkStart w:id="33" w:name="_Toc434689811"/>
      <w:r w:rsidRPr="00915650">
        <w:t>ÖSSZEGZÉS</w:t>
      </w:r>
      <w:bookmarkEnd w:id="32"/>
      <w:bookmarkEnd w:id="33"/>
    </w:p>
    <w:p w:rsidR="00D156B6" w:rsidRDefault="00D156B6" w:rsidP="00FF0C9A">
      <w:pPr>
        <w:autoSpaceDE w:val="0"/>
        <w:autoSpaceDN w:val="0"/>
        <w:adjustRightInd w:val="0"/>
        <w:spacing w:after="120" w:line="360" w:lineRule="auto"/>
        <w:jc w:val="both"/>
        <w:rPr>
          <w:rFonts w:ascii="Times New Roman" w:hAnsi="Times New Roman" w:cs="Times New Roman"/>
          <w:sz w:val="24"/>
          <w:szCs w:val="24"/>
        </w:rPr>
      </w:pPr>
    </w:p>
    <w:p w:rsidR="00FF0C9A" w:rsidRPr="00C16B20"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16B20">
        <w:rPr>
          <w:rFonts w:ascii="Times New Roman" w:hAnsi="Times New Roman" w:cs="Times New Roman"/>
          <w:sz w:val="24"/>
          <w:szCs w:val="24"/>
        </w:rPr>
        <w:t>Az elmúlt évtizedekben a</w:t>
      </w:r>
      <w:r w:rsidRPr="00C16B20">
        <w:rPr>
          <w:rFonts w:ascii="Times New Roman" w:eastAsia="TimesNewRomanPSMT" w:hAnsi="Times New Roman" w:cs="Times New Roman"/>
          <w:sz w:val="24"/>
          <w:szCs w:val="24"/>
        </w:rPr>
        <w:t xml:space="preserve"> </w:t>
      </w:r>
      <w:r w:rsidRPr="00C16B20">
        <w:rPr>
          <w:rFonts w:ascii="Times New Roman" w:hAnsi="Times New Roman" w:cs="Times New Roman"/>
          <w:sz w:val="24"/>
          <w:szCs w:val="24"/>
        </w:rPr>
        <w:t xml:space="preserve">globalizációs folyamatok hatására kiszélesedő és egyre inkább nemzetközivé váló </w:t>
      </w:r>
      <w:r w:rsidRPr="00C16B20">
        <w:rPr>
          <w:rFonts w:ascii="Times New Roman" w:eastAsia="TimesNewRomanPSMT" w:hAnsi="Times New Roman" w:cs="Times New Roman"/>
          <w:sz w:val="24"/>
          <w:szCs w:val="24"/>
        </w:rPr>
        <w:t>vállalati kapcsolatok szükségessé tették, hogy a befektetést kereső és befektetni szándékozó piaci szereplők eltérő igényeiket és lehetőségeiket azonos alapon tudják összehasonlítani, értékelni. M</w:t>
      </w:r>
      <w:r w:rsidRPr="00C16B20">
        <w:rPr>
          <w:rFonts w:ascii="Times New Roman" w:hAnsi="Times New Roman" w:cs="Times New Roman"/>
          <w:sz w:val="24"/>
          <w:szCs w:val="24"/>
        </w:rPr>
        <w:t>egnőtt a számvitel fontossága, jelent</w:t>
      </w:r>
      <w:r w:rsidRPr="00C16B20">
        <w:rPr>
          <w:rFonts w:ascii="TT13o00" w:eastAsia="TT13o00" w:hAnsi="Times New Roman" w:cs="TT13o00" w:hint="eastAsia"/>
          <w:sz w:val="24"/>
          <w:szCs w:val="24"/>
        </w:rPr>
        <w:t>ő</w:t>
      </w:r>
      <w:r w:rsidRPr="00C16B20">
        <w:rPr>
          <w:rFonts w:ascii="Times New Roman" w:hAnsi="Times New Roman" w:cs="Times New Roman"/>
          <w:sz w:val="24"/>
          <w:szCs w:val="24"/>
        </w:rPr>
        <w:t>sége, f</w:t>
      </w:r>
      <w:r w:rsidRPr="00C16B20">
        <w:rPr>
          <w:rFonts w:ascii="Times New Roman" w:eastAsia="TimesNewRomanPSMT" w:hAnsi="Times New Roman" w:cs="Times New Roman"/>
          <w:sz w:val="24"/>
          <w:szCs w:val="24"/>
        </w:rPr>
        <w:t>elértékel</w:t>
      </w:r>
      <w:r w:rsidRPr="00C16B20">
        <w:rPr>
          <w:rFonts w:ascii="TT13o00" w:eastAsia="TT13o00" w:hAnsi="Times New Roman" w:cs="TT13o00" w:hint="eastAsia"/>
          <w:sz w:val="24"/>
          <w:szCs w:val="24"/>
        </w:rPr>
        <w:t>ő</w:t>
      </w:r>
      <w:r w:rsidRPr="00C16B20">
        <w:rPr>
          <w:rFonts w:ascii="Times New Roman" w:hAnsi="Times New Roman" w:cs="Times New Roman"/>
          <w:sz w:val="24"/>
          <w:szCs w:val="24"/>
        </w:rPr>
        <w:t>dött a beszámolóban szerepl</w:t>
      </w:r>
      <w:r w:rsidRPr="00C16B20">
        <w:rPr>
          <w:rFonts w:ascii="TT13o00" w:eastAsia="TT13o00" w:hAnsi="Times New Roman" w:cs="TT13o00" w:hint="eastAsia"/>
          <w:sz w:val="24"/>
          <w:szCs w:val="24"/>
        </w:rPr>
        <w:t>ő</w:t>
      </w:r>
      <w:r w:rsidRPr="00C16B20">
        <w:rPr>
          <w:rFonts w:ascii="TT13o00" w:eastAsia="TT13o00" w:hAnsi="Times New Roman" w:cs="TT13o00"/>
          <w:sz w:val="24"/>
          <w:szCs w:val="24"/>
        </w:rPr>
        <w:t xml:space="preserve"> </w:t>
      </w:r>
      <w:r w:rsidRPr="00C16B20">
        <w:rPr>
          <w:rFonts w:ascii="Times New Roman" w:hAnsi="Times New Roman" w:cs="Times New Roman"/>
          <w:sz w:val="24"/>
          <w:szCs w:val="24"/>
        </w:rPr>
        <w:t>adatok információtartalma, és ezzel összefüggésben megn</w:t>
      </w:r>
      <w:r w:rsidRPr="00C16B20">
        <w:rPr>
          <w:rFonts w:ascii="TT13o00" w:eastAsia="TT13o00" w:hAnsi="Times New Roman" w:cs="TT13o00" w:hint="eastAsia"/>
          <w:sz w:val="24"/>
          <w:szCs w:val="24"/>
        </w:rPr>
        <w:t>ő</w:t>
      </w:r>
      <w:r w:rsidRPr="00C16B20">
        <w:rPr>
          <w:rFonts w:ascii="Times New Roman" w:hAnsi="Times New Roman" w:cs="Times New Roman"/>
          <w:sz w:val="24"/>
          <w:szCs w:val="24"/>
        </w:rPr>
        <w:t>tt a közreadók felel</w:t>
      </w:r>
      <w:r w:rsidRPr="00C16B20">
        <w:rPr>
          <w:rFonts w:ascii="TT13o00" w:eastAsia="TT13o00" w:hAnsi="Times New Roman" w:cs="TT13o00" w:hint="eastAsia"/>
          <w:sz w:val="24"/>
          <w:szCs w:val="24"/>
        </w:rPr>
        <w:t>ő</w:t>
      </w:r>
      <w:r w:rsidRPr="00C16B20">
        <w:rPr>
          <w:rFonts w:ascii="Times New Roman" w:hAnsi="Times New Roman" w:cs="Times New Roman"/>
          <w:sz w:val="24"/>
          <w:szCs w:val="24"/>
        </w:rPr>
        <w:t xml:space="preserve">ssége is a nyilvánosságra hozott és nyilvánosságra nem hozott adatok vonatkozásában. </w:t>
      </w:r>
    </w:p>
    <w:p w:rsidR="00FF0C9A" w:rsidRPr="00C16B20" w:rsidRDefault="00FF0C9A" w:rsidP="00FF0C9A">
      <w:pPr>
        <w:autoSpaceDE w:val="0"/>
        <w:autoSpaceDN w:val="0"/>
        <w:adjustRightInd w:val="0"/>
        <w:spacing w:after="120" w:line="360" w:lineRule="auto"/>
        <w:jc w:val="both"/>
        <w:rPr>
          <w:rStyle w:val="Cmsor1Char"/>
          <w:rFonts w:eastAsiaTheme="minorHAnsi"/>
          <w:b w:val="0"/>
          <w:sz w:val="24"/>
          <w:szCs w:val="24"/>
        </w:rPr>
      </w:pPr>
      <w:r w:rsidRPr="00C16B20">
        <w:rPr>
          <w:rFonts w:ascii="Times New Roman" w:hAnsi="Times New Roman" w:cs="Times New Roman"/>
          <w:sz w:val="24"/>
          <w:szCs w:val="24"/>
        </w:rPr>
        <w:t xml:space="preserve">Mivel az egyes országok számviteli normarendszere </w:t>
      </w:r>
      <w:r w:rsidR="00D156B6">
        <w:rPr>
          <w:rFonts w:ascii="Times New Roman" w:hAnsi="Times New Roman" w:cs="Times New Roman"/>
          <w:sz w:val="24"/>
          <w:szCs w:val="24"/>
        </w:rPr>
        <w:t>–</w:t>
      </w:r>
      <w:r w:rsidRPr="00C16B20">
        <w:rPr>
          <w:rFonts w:ascii="Times New Roman" w:hAnsi="Times New Roman" w:cs="Times New Roman"/>
          <w:sz w:val="24"/>
          <w:szCs w:val="24"/>
        </w:rPr>
        <w:t xml:space="preserve"> jogi berendezkedésük, eltér</w:t>
      </w:r>
      <w:r w:rsidRPr="00C16B20">
        <w:rPr>
          <w:rFonts w:ascii="TT13o00" w:eastAsia="TT13o00" w:hAnsi="Times New Roman" w:cs="TT13o00" w:hint="eastAsia"/>
          <w:sz w:val="24"/>
          <w:szCs w:val="24"/>
        </w:rPr>
        <w:t>ő</w:t>
      </w:r>
      <w:r w:rsidRPr="00C16B20">
        <w:rPr>
          <w:rFonts w:ascii="TT13o00" w:eastAsia="TT13o00" w:hAnsi="Times New Roman" w:cs="TT13o00"/>
          <w:sz w:val="24"/>
          <w:szCs w:val="24"/>
        </w:rPr>
        <w:t xml:space="preserve"> </w:t>
      </w:r>
      <w:r w:rsidRPr="00C16B20">
        <w:rPr>
          <w:rFonts w:ascii="Times New Roman" w:hAnsi="Times New Roman" w:cs="Times New Roman"/>
          <w:sz w:val="24"/>
          <w:szCs w:val="24"/>
        </w:rPr>
        <w:t xml:space="preserve">pénzügyi, gazdasági és adózási feltételrendszerük következtében </w:t>
      </w:r>
      <w:r w:rsidR="00D156B6">
        <w:rPr>
          <w:rFonts w:ascii="Times New Roman" w:hAnsi="Times New Roman" w:cs="Times New Roman"/>
          <w:sz w:val="24"/>
          <w:szCs w:val="24"/>
        </w:rPr>
        <w:t>–</w:t>
      </w:r>
      <w:r w:rsidRPr="00C16B20">
        <w:rPr>
          <w:rFonts w:ascii="Times New Roman" w:hAnsi="Times New Roman" w:cs="Times New Roman"/>
          <w:sz w:val="24"/>
          <w:szCs w:val="24"/>
        </w:rPr>
        <w:t xml:space="preserve"> más-más módon került kialakításra, szükségessé vált egy nemzetközi szintű számviteli harmonizáció, melynek célja egy egységes számviteli rendszer megteremtése. Hazánk nemzeti számvitelébe az EU által preferált IFRS szabályozás elemeit kívánja </w:t>
      </w:r>
      <w:r w:rsidR="001356D8">
        <w:rPr>
          <w:rFonts w:ascii="Times New Roman" w:hAnsi="Times New Roman" w:cs="Times New Roman"/>
          <w:sz w:val="24"/>
          <w:szCs w:val="24"/>
        </w:rPr>
        <w:t xml:space="preserve">– </w:t>
      </w:r>
      <w:r w:rsidRPr="00C16B20">
        <w:rPr>
          <w:rFonts w:ascii="Times New Roman" w:hAnsi="Times New Roman" w:cs="Times New Roman"/>
          <w:sz w:val="24"/>
          <w:szCs w:val="24"/>
        </w:rPr>
        <w:t xml:space="preserve">egyelőre csak részben és fokozatosan </w:t>
      </w:r>
      <w:r w:rsidR="001356D8">
        <w:rPr>
          <w:rFonts w:ascii="Times New Roman" w:hAnsi="Times New Roman" w:cs="Times New Roman"/>
          <w:sz w:val="24"/>
          <w:szCs w:val="24"/>
        </w:rPr>
        <w:t xml:space="preserve">– </w:t>
      </w:r>
      <w:r w:rsidRPr="00C16B20">
        <w:rPr>
          <w:rFonts w:ascii="Times New Roman" w:hAnsi="Times New Roman" w:cs="Times New Roman"/>
          <w:sz w:val="24"/>
          <w:szCs w:val="24"/>
        </w:rPr>
        <w:t>beépíteni.</w:t>
      </w:r>
      <w:r w:rsidRPr="00C16B20">
        <w:rPr>
          <w:rStyle w:val="Cmsor1Char"/>
          <w:rFonts w:eastAsiaTheme="minorHAnsi"/>
          <w:b w:val="0"/>
          <w:sz w:val="24"/>
          <w:szCs w:val="24"/>
        </w:rPr>
        <w:t xml:space="preserve"> A bevezetés több lépcsőben történik, 2016-tól még választhatóan, 2017-től többek számára már kötelezően.</w:t>
      </w:r>
    </w:p>
    <w:p w:rsidR="00FF0C9A" w:rsidRPr="00C16B20" w:rsidRDefault="00FF0C9A" w:rsidP="00FF0C9A">
      <w:pPr>
        <w:autoSpaceDE w:val="0"/>
        <w:autoSpaceDN w:val="0"/>
        <w:adjustRightInd w:val="0"/>
        <w:spacing w:after="120" w:line="360" w:lineRule="auto"/>
        <w:jc w:val="both"/>
        <w:rPr>
          <w:rFonts w:ascii="Times New Roman" w:hAnsi="Times New Roman" w:cs="Times New Roman"/>
          <w:sz w:val="24"/>
          <w:szCs w:val="24"/>
        </w:rPr>
      </w:pPr>
      <w:r w:rsidRPr="00C16B20">
        <w:rPr>
          <w:rFonts w:ascii="Times New Roman" w:hAnsi="Times New Roman" w:cs="Times New Roman"/>
          <w:sz w:val="24"/>
          <w:szCs w:val="24"/>
        </w:rPr>
        <w:t>A nemzetközi standardok szerinti beszámolási forma számos ponton kedvező hatást jelenthet a vállalkozások számára. Ezek közül talán a legfontosabb, hogy a beszámolók nemzetközi szinten is összehasonlíthatóvá válnak. Azzal, hogy jobban megfelelnek a külföldi befektetői elvárásoknak, könnyebbé válhat a forrásszerzés, ami hozzájárulhat a versenyképesség növekedéséhez. Azoknál a vállalkozásoknál, ahol – a külföldi anyavállalat miatt – jelenleg két</w:t>
      </w:r>
      <w:r>
        <w:rPr>
          <w:rFonts w:ascii="Times New Roman" w:hAnsi="Times New Roman" w:cs="Times New Roman"/>
          <w:sz w:val="24"/>
          <w:szCs w:val="24"/>
        </w:rPr>
        <w:t xml:space="preserve"> </w:t>
      </w:r>
      <w:r w:rsidRPr="00C16B20">
        <w:rPr>
          <w:rFonts w:ascii="Times New Roman" w:hAnsi="Times New Roman" w:cs="Times New Roman"/>
          <w:sz w:val="24"/>
          <w:szCs w:val="24"/>
        </w:rPr>
        <w:t>számviteli rendszer szerint kell kimutatásokat készíteni (pl. magyar és IFRS),</w:t>
      </w:r>
      <w:r>
        <w:rPr>
          <w:rFonts w:ascii="Times New Roman" w:hAnsi="Times New Roman" w:cs="Times New Roman"/>
          <w:sz w:val="24"/>
          <w:szCs w:val="24"/>
        </w:rPr>
        <w:t xml:space="preserve"> </w:t>
      </w:r>
      <w:r w:rsidRPr="00C16B20">
        <w:rPr>
          <w:rFonts w:ascii="Times New Roman" w:hAnsi="Times New Roman" w:cs="Times New Roman"/>
          <w:sz w:val="24"/>
          <w:szCs w:val="24"/>
        </w:rPr>
        <w:t xml:space="preserve">várhatóan már középtávon csökkenni fog az adminisztratív teher.  </w:t>
      </w:r>
    </w:p>
    <w:p w:rsidR="00FF0C9A" w:rsidRPr="00C16B20" w:rsidRDefault="00D156B6" w:rsidP="00FF0C9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bevezetés azonban nem</w:t>
      </w:r>
      <w:r w:rsidR="00FF0C9A" w:rsidRPr="00C16B20">
        <w:rPr>
          <w:rFonts w:ascii="Times New Roman" w:hAnsi="Times New Roman" w:cs="Times New Roman"/>
          <w:sz w:val="24"/>
          <w:szCs w:val="24"/>
        </w:rPr>
        <w:t>csak előnyöket j</w:t>
      </w:r>
      <w:r>
        <w:rPr>
          <w:rFonts w:ascii="Times New Roman" w:hAnsi="Times New Roman" w:cs="Times New Roman"/>
          <w:sz w:val="24"/>
          <w:szCs w:val="24"/>
        </w:rPr>
        <w:t>elent, hanem</w:t>
      </w:r>
      <w:r w:rsidR="00FF0C9A" w:rsidRPr="00C16B20">
        <w:rPr>
          <w:rFonts w:ascii="Times New Roman" w:hAnsi="Times New Roman" w:cs="Times New Roman"/>
          <w:sz w:val="24"/>
          <w:szCs w:val="24"/>
        </w:rPr>
        <w:t xml:space="preserve"> számos plusz feladat és költség elé állítja a gazdálkodó egységeket, sok új nehézséggel kell majd szembenézniük a bevez</w:t>
      </w:r>
      <w:r w:rsidR="001356D8">
        <w:rPr>
          <w:rFonts w:ascii="Times New Roman" w:hAnsi="Times New Roman" w:cs="Times New Roman"/>
          <w:sz w:val="24"/>
          <w:szCs w:val="24"/>
        </w:rPr>
        <w:t>etés és a működtetés kapcsán</w:t>
      </w:r>
      <w:r w:rsidR="00FF0C9A" w:rsidRPr="00C16B20">
        <w:rPr>
          <w:rFonts w:ascii="Times New Roman" w:hAnsi="Times New Roman" w:cs="Times New Roman"/>
          <w:sz w:val="24"/>
          <w:szCs w:val="24"/>
        </w:rPr>
        <w:t>: humán erőforrások mennyisége, minősége/képzettsége, új informatikai rendszerek bevezetése, új folyamatok, kon</w:t>
      </w:r>
      <w:r w:rsidR="001356D8">
        <w:rPr>
          <w:rFonts w:ascii="Times New Roman" w:hAnsi="Times New Roman" w:cs="Times New Roman"/>
          <w:sz w:val="24"/>
          <w:szCs w:val="24"/>
        </w:rPr>
        <w:t>trollok kialakítása, bevezetése</w:t>
      </w:r>
      <w:r w:rsidR="00FF0C9A" w:rsidRPr="00C16B20">
        <w:rPr>
          <w:rFonts w:ascii="Times New Roman" w:hAnsi="Times New Roman" w:cs="Times New Roman"/>
          <w:sz w:val="24"/>
          <w:szCs w:val="24"/>
        </w:rPr>
        <w:t xml:space="preserve"> stb.</w:t>
      </w:r>
    </w:p>
    <w:p w:rsidR="00FF0C9A" w:rsidRDefault="00FF0C9A" w:rsidP="00FF0C9A">
      <w:pPr>
        <w:spacing w:after="120" w:line="360" w:lineRule="auto"/>
        <w:jc w:val="both"/>
        <w:rPr>
          <w:rFonts w:ascii="Times New Roman" w:hAnsi="Times New Roman" w:cs="Times New Roman"/>
          <w:sz w:val="24"/>
          <w:szCs w:val="24"/>
        </w:rPr>
      </w:pPr>
      <w:r w:rsidRPr="00C16B20">
        <w:rPr>
          <w:rFonts w:ascii="Times New Roman" w:hAnsi="Times New Roman" w:cs="Times New Roman"/>
          <w:sz w:val="24"/>
          <w:szCs w:val="24"/>
        </w:rPr>
        <w:t>Az új modell időben előrébb</w:t>
      </w:r>
      <w:r w:rsidRPr="00251F98">
        <w:rPr>
          <w:rFonts w:ascii="Times New Roman" w:hAnsi="Times New Roman" w:cs="Times New Roman"/>
          <w:sz w:val="24"/>
          <w:szCs w:val="24"/>
        </w:rPr>
        <w:t xml:space="preserve"> hozza a hitelezési veszteségek kimutatását, elkülöníti a hitelezési minőségben jelentősen</w:t>
      </w:r>
      <w:r w:rsidRPr="00AC5D57">
        <w:rPr>
          <w:rFonts w:ascii="Times New Roman" w:hAnsi="Times New Roman" w:cs="Times New Roman"/>
          <w:sz w:val="24"/>
          <w:szCs w:val="24"/>
        </w:rPr>
        <w:t xml:space="preserve"> romlott pénzügyi eszközök</w:t>
      </w:r>
      <w:r>
        <w:rPr>
          <w:rFonts w:ascii="Times New Roman" w:hAnsi="Times New Roman" w:cs="Times New Roman"/>
          <w:sz w:val="24"/>
          <w:szCs w:val="24"/>
        </w:rPr>
        <w:t xml:space="preserve">et, továbbá előre láthatóbb, pontosabb információt szolgáltat. Negatívum azonban a túl elméleti megközelítés és a szubjektív döntési elemek megjelenése, amik – precedensek hiányában – megnehezítik a gyakorlati leképezést.  </w:t>
      </w:r>
      <w:r w:rsidR="001356D8">
        <w:rPr>
          <w:rFonts w:ascii="Times New Roman" w:hAnsi="Times New Roman" w:cs="Times New Roman"/>
          <w:sz w:val="24"/>
          <w:szCs w:val="24"/>
        </w:rPr>
        <w:t>N</w:t>
      </w:r>
      <w:r>
        <w:rPr>
          <w:rFonts w:ascii="Times New Roman" w:hAnsi="Times New Roman" w:cs="Times New Roman"/>
          <w:sz w:val="24"/>
          <w:szCs w:val="24"/>
        </w:rPr>
        <w:t xml:space="preserve">ehezíti a bevezetést és a működtetést </w:t>
      </w:r>
      <w:bookmarkStart w:id="34" w:name="_GoBack"/>
      <w:bookmarkEnd w:id="34"/>
      <w:r>
        <w:rPr>
          <w:rFonts w:ascii="Times New Roman" w:hAnsi="Times New Roman" w:cs="Times New Roman"/>
          <w:sz w:val="24"/>
          <w:szCs w:val="24"/>
        </w:rPr>
        <w:t xml:space="preserve">a modell bonyolultsága és nagy információigénye, mely </w:t>
      </w:r>
      <w:r w:rsidRPr="00AC5D57">
        <w:rPr>
          <w:rFonts w:ascii="Times New Roman" w:hAnsi="Times New Roman" w:cs="Times New Roman"/>
          <w:sz w:val="24"/>
          <w:szCs w:val="24"/>
        </w:rPr>
        <w:t>számos plusz feladat és költség elé állítja a</w:t>
      </w:r>
      <w:r>
        <w:rPr>
          <w:rFonts w:ascii="Times New Roman" w:hAnsi="Times New Roman" w:cs="Times New Roman"/>
          <w:sz w:val="24"/>
          <w:szCs w:val="24"/>
        </w:rPr>
        <w:t xml:space="preserve">z alkalmazókat. </w:t>
      </w:r>
    </w:p>
    <w:p w:rsidR="00FF0C9A" w:rsidRPr="00AC5D57" w:rsidRDefault="001356D8" w:rsidP="00FF0C9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00FF0C9A" w:rsidRPr="006F7348">
        <w:rPr>
          <w:rFonts w:ascii="Times New Roman" w:hAnsi="Times New Roman" w:cs="Times New Roman"/>
          <w:sz w:val="24"/>
          <w:szCs w:val="24"/>
        </w:rPr>
        <w:t xml:space="preserve">z új </w:t>
      </w:r>
      <w:r w:rsidR="00FF0C9A">
        <w:rPr>
          <w:rFonts w:ascii="Times New Roman" w:hAnsi="Times New Roman" w:cs="Times New Roman"/>
          <w:sz w:val="24"/>
          <w:szCs w:val="24"/>
        </w:rPr>
        <w:t xml:space="preserve">IFRS alapú </w:t>
      </w:r>
      <w:r w:rsidR="00FF0C9A" w:rsidRPr="006F7348">
        <w:rPr>
          <w:rFonts w:ascii="Times New Roman" w:hAnsi="Times New Roman" w:cs="Times New Roman"/>
          <w:sz w:val="24"/>
          <w:szCs w:val="24"/>
        </w:rPr>
        <w:t xml:space="preserve">beszámolási rendszer </w:t>
      </w:r>
      <w:r w:rsidR="00FF0C9A">
        <w:rPr>
          <w:rFonts w:ascii="Times New Roman" w:hAnsi="Times New Roman" w:cs="Times New Roman"/>
          <w:sz w:val="24"/>
          <w:szCs w:val="24"/>
        </w:rPr>
        <w:t>n</w:t>
      </w:r>
      <w:r w:rsidR="00FF0C9A" w:rsidRPr="006F7348">
        <w:rPr>
          <w:rFonts w:ascii="Times New Roman" w:eastAsia="TimesNewRomanPSMT" w:hAnsi="Times New Roman" w:cs="Times New Roman"/>
          <w:sz w:val="24"/>
          <w:szCs w:val="24"/>
        </w:rPr>
        <w:t>em tekinthet</w:t>
      </w:r>
      <w:r w:rsidR="00FF0C9A">
        <w:rPr>
          <w:rFonts w:ascii="Times New Roman" w:eastAsia="TimesNewRomanPSMT" w:hAnsi="Times New Roman" w:cs="Times New Roman"/>
          <w:sz w:val="24"/>
          <w:szCs w:val="24"/>
        </w:rPr>
        <w:t xml:space="preserve">ő mindenhatónak, ami minden számviteli és pénzügyi beszámolással kapcsolatos problémát megold, minden kérdést megválaszol. </w:t>
      </w:r>
      <w:r w:rsidR="00FF0C9A" w:rsidRPr="006F7348">
        <w:rPr>
          <w:rFonts w:ascii="Times New Roman" w:eastAsia="TimesNewRomanPSMT" w:hAnsi="Times New Roman" w:cs="Times New Roman"/>
          <w:sz w:val="24"/>
          <w:szCs w:val="24"/>
        </w:rPr>
        <w:t>A gyakorlati alkalmaz</w:t>
      </w:r>
      <w:r w:rsidR="00FF0C9A">
        <w:rPr>
          <w:rFonts w:ascii="Times New Roman" w:eastAsia="TimesNewRomanPSMT" w:hAnsi="Times New Roman" w:cs="Times New Roman"/>
          <w:sz w:val="24"/>
          <w:szCs w:val="24"/>
        </w:rPr>
        <w:t xml:space="preserve">ás során derül majd ki, </w:t>
      </w:r>
      <w:r w:rsidR="00FF0C9A" w:rsidRPr="006F7348">
        <w:rPr>
          <w:rFonts w:ascii="Times New Roman" w:eastAsia="TimesNewRomanPSMT" w:hAnsi="Times New Roman" w:cs="Times New Roman"/>
          <w:sz w:val="24"/>
          <w:szCs w:val="24"/>
        </w:rPr>
        <w:t>hogy mennyiben j</w:t>
      </w:r>
      <w:r w:rsidR="00FF0C9A">
        <w:rPr>
          <w:rFonts w:ascii="Times New Roman" w:eastAsia="TimesNewRomanPSMT" w:hAnsi="Times New Roman" w:cs="Times New Roman"/>
          <w:sz w:val="24"/>
          <w:szCs w:val="24"/>
        </w:rPr>
        <w:t>árul hozzá a számviteli és pénzügyi kimutatások minőségének javulásához, milyen léptékű előrelépést jelent a beszámolás területén.</w:t>
      </w:r>
    </w:p>
    <w:p w:rsidR="00FF0C9A" w:rsidRPr="00AC5D57" w:rsidRDefault="00FF0C9A" w:rsidP="00FF0C9A">
      <w:pPr>
        <w:spacing w:after="120" w:line="360" w:lineRule="auto"/>
        <w:jc w:val="both"/>
        <w:rPr>
          <w:rFonts w:ascii="Times New Roman" w:hAnsi="Times New Roman" w:cs="Times New Roman"/>
          <w:sz w:val="24"/>
          <w:szCs w:val="24"/>
        </w:rPr>
      </w:pPr>
    </w:p>
    <w:p w:rsidR="00FF0C9A" w:rsidRPr="00AC5D57" w:rsidRDefault="00FF0C9A" w:rsidP="00FF0C9A">
      <w:pPr>
        <w:jc w:val="both"/>
        <w:rPr>
          <w:rFonts w:ascii="Times New Roman" w:eastAsia="TimesNewRomanPSMT" w:hAnsi="Times New Roman" w:cs="Times New Roman"/>
          <w:b/>
          <w:sz w:val="28"/>
          <w:szCs w:val="28"/>
        </w:rPr>
      </w:pPr>
      <w:r w:rsidRPr="00AC5D57">
        <w:rPr>
          <w:rFonts w:ascii="Times New Roman" w:eastAsia="TimesNewRomanPSMT" w:hAnsi="Times New Roman" w:cs="Times New Roman"/>
          <w:b/>
          <w:sz w:val="28"/>
          <w:szCs w:val="28"/>
        </w:rPr>
        <w:br w:type="page"/>
      </w:r>
    </w:p>
    <w:p w:rsidR="00FF0C9A" w:rsidRPr="00521AAB" w:rsidRDefault="00FF0C9A" w:rsidP="00FF0C9A">
      <w:pPr>
        <w:pStyle w:val="Cmsor1"/>
        <w:rPr>
          <w:rFonts w:eastAsia="TimesNewRomanPSMT"/>
        </w:rPr>
      </w:pPr>
      <w:bookmarkStart w:id="35" w:name="_Toc434689812"/>
      <w:r w:rsidRPr="00521AAB">
        <w:rPr>
          <w:rFonts w:eastAsia="TimesNewRomanPSMT"/>
        </w:rPr>
        <w:t>FELHASZNÁLT IRODALOM</w:t>
      </w:r>
      <w:bookmarkEnd w:id="35"/>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eastAsia="TimesNewRomanPSMT" w:hAnsi="Times New Roman" w:cs="Times New Roman"/>
          <w:bCs/>
          <w:sz w:val="24"/>
          <w:szCs w:val="24"/>
        </w:rPr>
      </w:pPr>
      <w:r w:rsidRPr="008C200C">
        <w:rPr>
          <w:rFonts w:ascii="Times New Roman" w:hAnsi="Times New Roman" w:cs="Times New Roman"/>
          <w:sz w:val="24"/>
          <w:szCs w:val="24"/>
        </w:rPr>
        <w:t xml:space="preserve">Anonymus: IFRS Tudásbázis. </w:t>
      </w:r>
      <w:hyperlink r:id="rId10" w:history="1">
        <w:r w:rsidRPr="008C200C">
          <w:rPr>
            <w:rStyle w:val="Hiperhivatkozs"/>
            <w:rFonts w:ascii="Times New Roman" w:eastAsia="TimesNewRomanPSMT" w:hAnsi="Times New Roman" w:cs="Times New Roman"/>
            <w:bCs/>
            <w:sz w:val="24"/>
            <w:szCs w:val="24"/>
          </w:rPr>
          <w:t>http://exkss.com/devel/huHU/ifrskno/showtopicgroupview?topicName=P%C3%A9nz%C3%BCgyi%20k%C3%B6telezetts%C3%A9g</w:t>
        </w:r>
      </w:hyperlink>
      <w:r w:rsidRPr="008C200C">
        <w:rPr>
          <w:rFonts w:ascii="Times New Roman" w:hAnsi="Times New Roman" w:cs="Times New Roman"/>
          <w:sz w:val="24"/>
          <w:szCs w:val="24"/>
        </w:rPr>
        <w:t>, Letöltés dátuma: 2015.05.24.</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eastAsia="TimesNewRomanPSMT" w:hAnsi="Times New Roman" w:cs="Times New Roman"/>
          <w:bCs/>
          <w:sz w:val="24"/>
          <w:szCs w:val="24"/>
        </w:rPr>
      </w:pPr>
      <w:r w:rsidRPr="008C200C">
        <w:rPr>
          <w:rFonts w:ascii="Times New Roman" w:hAnsi="Times New Roman" w:cs="Times New Roman"/>
          <w:sz w:val="24"/>
          <w:szCs w:val="24"/>
        </w:rPr>
        <w:t xml:space="preserve">Anonymus: IFRS Tudásbázis. </w:t>
      </w:r>
      <w:hyperlink r:id="rId11" w:history="1">
        <w:r w:rsidRPr="008C200C">
          <w:rPr>
            <w:rStyle w:val="Hiperhivatkozs"/>
            <w:rFonts w:ascii="Times New Roman" w:eastAsia="TimesNewRomanPSMT" w:hAnsi="Times New Roman" w:cs="Times New Roman"/>
            <w:bCs/>
            <w:sz w:val="24"/>
            <w:szCs w:val="24"/>
          </w:rPr>
          <w:t>http://exkss.com/devel/huHU/ifrskno/showtopicgroupview?topicName=P%C3%A9nz%C3%BCgyi%20eszk%C3%B6z</w:t>
        </w:r>
      </w:hyperlink>
      <w:r w:rsidRPr="008C200C">
        <w:rPr>
          <w:rFonts w:ascii="Times New Roman" w:hAnsi="Times New Roman" w:cs="Times New Roman"/>
          <w:sz w:val="24"/>
          <w:szCs w:val="24"/>
        </w:rPr>
        <w:t>, Letöltés dátuma: 2015.05.24.</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eastAsia="TimesNewRomanPSMT" w:hAnsi="Times New Roman" w:cs="Times New Roman"/>
          <w:bCs/>
          <w:sz w:val="24"/>
          <w:szCs w:val="24"/>
        </w:rPr>
      </w:pPr>
      <w:r w:rsidRPr="008C200C">
        <w:rPr>
          <w:rFonts w:ascii="Times New Roman" w:hAnsi="Times New Roman" w:cs="Times New Roman"/>
          <w:sz w:val="24"/>
          <w:szCs w:val="24"/>
        </w:rPr>
        <w:t xml:space="preserve">Anonymus: IFRS Tudásbázis. </w:t>
      </w:r>
      <w:hyperlink r:id="rId12" w:history="1">
        <w:r w:rsidRPr="008C200C">
          <w:rPr>
            <w:rStyle w:val="Hiperhivatkozs"/>
            <w:rFonts w:ascii="Times New Roman" w:eastAsia="TimesNewRomanPSMT" w:hAnsi="Times New Roman" w:cs="Times New Roman"/>
            <w:bCs/>
            <w:sz w:val="24"/>
            <w:szCs w:val="24"/>
          </w:rPr>
          <w:t>http://exkss.com/devel/huHU/ifrskno/showtopicgroupview?topicName=P%C3%A9nz%C3%BCgyi%20instrumentum</w:t>
        </w:r>
      </w:hyperlink>
      <w:r w:rsidRPr="008C200C">
        <w:rPr>
          <w:rFonts w:ascii="Times New Roman" w:eastAsia="TimesNewRomanPSMT" w:hAnsi="Times New Roman" w:cs="Times New Roman"/>
          <w:bCs/>
          <w:sz w:val="24"/>
          <w:szCs w:val="24"/>
        </w:rPr>
        <w:t xml:space="preserve">, </w:t>
      </w:r>
      <w:r w:rsidRPr="008C200C">
        <w:rPr>
          <w:rFonts w:ascii="Times New Roman" w:hAnsi="Times New Roman" w:cs="Times New Roman"/>
          <w:sz w:val="24"/>
          <w:szCs w:val="24"/>
        </w:rPr>
        <w:t>Letöltés dátuma: 2015.05.24.</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eastAsia="TimesNewRomanPSMT" w:hAnsi="Times New Roman" w:cs="Times New Roman"/>
          <w:bCs/>
          <w:sz w:val="24"/>
          <w:szCs w:val="24"/>
        </w:rPr>
      </w:pPr>
      <w:r w:rsidRPr="008C200C">
        <w:rPr>
          <w:rFonts w:ascii="Times New Roman" w:hAnsi="Times New Roman" w:cs="Times New Roman"/>
          <w:sz w:val="24"/>
          <w:szCs w:val="24"/>
        </w:rPr>
        <w:t xml:space="preserve">Anonymus: IFRS Tudásbázis. </w:t>
      </w:r>
      <w:hyperlink r:id="rId13" w:history="1">
        <w:r w:rsidRPr="008C200C">
          <w:rPr>
            <w:rStyle w:val="Hiperhivatkozs"/>
            <w:rFonts w:ascii="Times New Roman" w:eastAsia="TimesNewRomanPSMT" w:hAnsi="Times New Roman" w:cs="Times New Roman"/>
            <w:bCs/>
            <w:sz w:val="24"/>
            <w:szCs w:val="24"/>
          </w:rPr>
          <w:t>http://exkss.com/devel/huHU/ifrskno/showtopicgroupview?topicName=T%C5%91keinstrumentum</w:t>
        </w:r>
      </w:hyperlink>
      <w:r w:rsidRPr="008C200C">
        <w:rPr>
          <w:rFonts w:ascii="Times New Roman" w:eastAsia="TimesNewRomanPSMT" w:hAnsi="Times New Roman" w:cs="Times New Roman"/>
          <w:bCs/>
          <w:sz w:val="24"/>
          <w:szCs w:val="24"/>
        </w:rPr>
        <w:t xml:space="preserve">, </w:t>
      </w:r>
      <w:r w:rsidRPr="008C200C">
        <w:rPr>
          <w:rFonts w:ascii="Times New Roman" w:hAnsi="Times New Roman" w:cs="Times New Roman"/>
          <w:sz w:val="24"/>
          <w:szCs w:val="24"/>
        </w:rPr>
        <w:t>Letöltés dátuma: 2015.05.24.</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proofErr w:type="gramStart"/>
      <w:r w:rsidRPr="008C200C">
        <w:rPr>
          <w:rFonts w:ascii="Times New Roman" w:hAnsi="Times New Roman" w:cs="Times New Roman"/>
          <w:sz w:val="24"/>
          <w:szCs w:val="24"/>
        </w:rPr>
        <w:t xml:space="preserve">Anonymus (2013): Financial Instruments: </w:t>
      </w:r>
      <w:proofErr w:type="spellStart"/>
      <w:r w:rsidRPr="008C200C">
        <w:rPr>
          <w:rFonts w:ascii="Times New Roman" w:hAnsi="Times New Roman" w:cs="Times New Roman"/>
          <w:sz w:val="24"/>
          <w:szCs w:val="24"/>
        </w:rPr>
        <w:t>Expected</w:t>
      </w:r>
      <w:proofErr w:type="spellEnd"/>
      <w:r w:rsidRPr="008C200C">
        <w:rPr>
          <w:rFonts w:ascii="Times New Roman" w:hAnsi="Times New Roman" w:cs="Times New Roman"/>
          <w:sz w:val="24"/>
          <w:szCs w:val="24"/>
        </w:rPr>
        <w:t xml:space="preserve"> Credit </w:t>
      </w:r>
      <w:proofErr w:type="spellStart"/>
      <w:r w:rsidRPr="008C200C">
        <w:rPr>
          <w:rFonts w:ascii="Times New Roman" w:hAnsi="Times New Roman" w:cs="Times New Roman"/>
          <w:sz w:val="24"/>
          <w:szCs w:val="24"/>
        </w:rPr>
        <w:t>Losses</w:t>
      </w:r>
      <w:proofErr w:type="spellEnd"/>
      <w:r w:rsidRPr="008C200C">
        <w:rPr>
          <w:rFonts w:ascii="Times New Roman" w:hAnsi="Times New Roman" w:cs="Times New Roman"/>
          <w:sz w:val="24"/>
          <w:szCs w:val="24"/>
        </w:rPr>
        <w:t xml:space="preserve">. </w:t>
      </w:r>
      <w:hyperlink r:id="rId14" w:history="1">
        <w:r w:rsidRPr="008C200C">
          <w:rPr>
            <w:rStyle w:val="Hiperhivatkozs"/>
            <w:rFonts w:ascii="Times New Roman" w:hAnsi="Times New Roman" w:cs="Times New Roman"/>
            <w:sz w:val="24"/>
            <w:szCs w:val="24"/>
          </w:rPr>
          <w:t>http://www.ifrs.org/Current-Projects/IASB-Projects/Financial-Instruments-A-Replacement-of-IAS-39-Financial-Instruments-Recognitio/Impairment/Exposure-Draft-March-2013/Comment-letters/Documents/ED-Financial-Instruments-Expected-Credit-Losses-March-2013.pdf</w:t>
        </w:r>
      </w:hyperlink>
      <w:r w:rsidRPr="008C200C">
        <w:rPr>
          <w:rFonts w:ascii="Times New Roman" w:hAnsi="Times New Roman" w:cs="Times New Roman"/>
          <w:sz w:val="24"/>
          <w:szCs w:val="24"/>
        </w:rPr>
        <w:t>, Letöltés</w:t>
      </w:r>
      <w:proofErr w:type="gramEnd"/>
      <w:r w:rsidRPr="008C200C">
        <w:rPr>
          <w:rFonts w:ascii="Times New Roman" w:hAnsi="Times New Roman" w:cs="Times New Roman"/>
          <w:sz w:val="24"/>
          <w:szCs w:val="24"/>
        </w:rPr>
        <w:t xml:space="preserve"> dátuma: 2015.09.04.</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eastAsia="TimesNewRomanPSMT" w:hAnsi="Times New Roman" w:cs="Times New Roman"/>
          <w:sz w:val="24"/>
          <w:szCs w:val="24"/>
        </w:rPr>
      </w:pPr>
      <w:r w:rsidRPr="008C200C">
        <w:rPr>
          <w:rFonts w:ascii="Times New Roman" w:eastAsia="TimesNewRomanPSMT" w:hAnsi="Times New Roman" w:cs="Times New Roman"/>
          <w:sz w:val="24"/>
          <w:szCs w:val="24"/>
        </w:rPr>
        <w:t xml:space="preserve">Bartha Ágnes – Gellért Henriett – </w:t>
      </w:r>
      <w:proofErr w:type="spellStart"/>
      <w:r w:rsidRPr="008C200C">
        <w:rPr>
          <w:rFonts w:ascii="Times New Roman" w:eastAsia="TimesNewRomanPSMT" w:hAnsi="Times New Roman" w:cs="Times New Roman"/>
          <w:sz w:val="24"/>
          <w:szCs w:val="24"/>
        </w:rPr>
        <w:t>Madarasiné</w:t>
      </w:r>
      <w:proofErr w:type="spellEnd"/>
      <w:r w:rsidRPr="008C200C">
        <w:rPr>
          <w:rFonts w:ascii="Times New Roman" w:eastAsia="TimesNewRomanPSMT" w:hAnsi="Times New Roman" w:cs="Times New Roman"/>
          <w:sz w:val="24"/>
          <w:szCs w:val="24"/>
        </w:rPr>
        <w:t xml:space="preserve"> Szirmai Andrea (2013): </w:t>
      </w:r>
      <w:r w:rsidRPr="008C200C">
        <w:rPr>
          <w:rFonts w:ascii="Times New Roman" w:eastAsia="TimesNewRomanPSMT" w:hAnsi="Times New Roman" w:cs="Times New Roman"/>
          <w:bCs/>
          <w:sz w:val="24"/>
          <w:szCs w:val="24"/>
        </w:rPr>
        <w:t xml:space="preserve">Nemzetközi számviteli ismeretek. Perfekt </w:t>
      </w:r>
      <w:proofErr w:type="spellStart"/>
      <w:r w:rsidRPr="008C200C">
        <w:rPr>
          <w:rFonts w:ascii="Times New Roman" w:eastAsia="TimesNewRomanPSMT" w:hAnsi="Times New Roman" w:cs="Times New Roman"/>
          <w:bCs/>
          <w:sz w:val="24"/>
          <w:szCs w:val="24"/>
        </w:rPr>
        <w:t>Zrt</w:t>
      </w:r>
      <w:proofErr w:type="spellEnd"/>
      <w:r w:rsidRPr="008C200C">
        <w:rPr>
          <w:rFonts w:ascii="Times New Roman" w:eastAsia="TimesNewRomanPSMT" w:hAnsi="Times New Roman" w:cs="Times New Roman"/>
          <w:bCs/>
          <w:sz w:val="24"/>
          <w:szCs w:val="24"/>
        </w:rPr>
        <w:t>, Budapest.</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proofErr w:type="spellStart"/>
      <w:r w:rsidRPr="008C200C">
        <w:rPr>
          <w:rFonts w:ascii="Times New Roman" w:eastAsia="TimesNewRomanPSMT" w:hAnsi="Times New Roman" w:cs="Times New Roman"/>
          <w:bCs/>
          <w:sz w:val="24"/>
          <w:szCs w:val="24"/>
        </w:rPr>
        <w:t>Deloitte</w:t>
      </w:r>
      <w:proofErr w:type="spellEnd"/>
      <w:r w:rsidRPr="008C200C">
        <w:rPr>
          <w:rFonts w:ascii="Times New Roman" w:eastAsia="TimesNewRomanPSMT" w:hAnsi="Times New Roman" w:cs="Times New Roman"/>
          <w:bCs/>
          <w:sz w:val="24"/>
          <w:szCs w:val="24"/>
        </w:rPr>
        <w:t xml:space="preserve"> (2014): IFRS Zsebkönyv. </w:t>
      </w:r>
      <w:hyperlink r:id="rId15" w:history="1">
        <w:r w:rsidRPr="008C200C">
          <w:rPr>
            <w:rStyle w:val="Hiperhivatkozs"/>
            <w:rFonts w:ascii="Times New Roman" w:hAnsi="Times New Roman" w:cs="Times New Roman"/>
            <w:sz w:val="24"/>
            <w:szCs w:val="24"/>
          </w:rPr>
          <w:t>http://www2.deloitte.com/content/dam/Deloitte/hu/Documents/audit/hu-audit-advisory-IFRSinYourPocket-2014-HUN.PDF</w:t>
        </w:r>
      </w:hyperlink>
      <w:r w:rsidRPr="008C200C">
        <w:rPr>
          <w:rFonts w:ascii="Times New Roman" w:eastAsia="TimesNewRomanPSMT" w:hAnsi="Times New Roman" w:cs="Times New Roman"/>
          <w:sz w:val="24"/>
          <w:szCs w:val="24"/>
        </w:rPr>
        <w:t>, Letöltés dátuma: 2015.08.18.</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eastAsia="TimesNewRomanPSMT" w:hAnsi="Times New Roman" w:cs="Times New Roman"/>
          <w:bCs/>
          <w:sz w:val="24"/>
          <w:szCs w:val="24"/>
        </w:rPr>
        <w:t xml:space="preserve">Ernst and Young (2014a): IFRS 9 Financial Instruments – </w:t>
      </w:r>
      <w:proofErr w:type="spellStart"/>
      <w:r w:rsidRPr="008C200C">
        <w:rPr>
          <w:rFonts w:ascii="Times New Roman" w:eastAsia="TimesNewRomanPSMT" w:hAnsi="Times New Roman" w:cs="Times New Roman"/>
          <w:bCs/>
          <w:sz w:val="24"/>
          <w:szCs w:val="24"/>
        </w:rPr>
        <w:t>classification</w:t>
      </w:r>
      <w:proofErr w:type="spellEnd"/>
      <w:r w:rsidRPr="008C200C">
        <w:rPr>
          <w:rFonts w:ascii="Times New Roman" w:eastAsia="TimesNewRomanPSMT" w:hAnsi="Times New Roman" w:cs="Times New Roman"/>
          <w:bCs/>
          <w:sz w:val="24"/>
          <w:szCs w:val="24"/>
        </w:rPr>
        <w:t xml:space="preserve"> and </w:t>
      </w:r>
      <w:proofErr w:type="spellStart"/>
      <w:r w:rsidRPr="008C200C">
        <w:rPr>
          <w:rFonts w:ascii="Times New Roman" w:eastAsia="TimesNewRomanPSMT" w:hAnsi="Times New Roman" w:cs="Times New Roman"/>
          <w:bCs/>
          <w:sz w:val="24"/>
          <w:szCs w:val="24"/>
        </w:rPr>
        <w:t>measurement</w:t>
      </w:r>
      <w:proofErr w:type="spellEnd"/>
      <w:r w:rsidRPr="008C200C">
        <w:rPr>
          <w:rFonts w:ascii="Times New Roman" w:eastAsia="TimesNewRomanPSMT" w:hAnsi="Times New Roman" w:cs="Times New Roman"/>
          <w:bCs/>
          <w:sz w:val="24"/>
          <w:szCs w:val="24"/>
        </w:rPr>
        <w:t xml:space="preserve">. </w:t>
      </w:r>
      <w:hyperlink r:id="rId16" w:history="1">
        <w:r w:rsidRPr="008C200C">
          <w:rPr>
            <w:rStyle w:val="Hiperhivatkozs"/>
            <w:rFonts w:ascii="Times New Roman" w:hAnsi="Times New Roman" w:cs="Times New Roman"/>
            <w:sz w:val="24"/>
            <w:szCs w:val="24"/>
          </w:rPr>
          <w:t>http://www.ey.com/Publication/vwLUAssets/EY-ifrs-developments-issue-86-july2014/$FILE/EY-ifrs-developments-issue-86-july2014.pdf</w:t>
        </w:r>
      </w:hyperlink>
      <w:r w:rsidRPr="008C200C">
        <w:rPr>
          <w:rFonts w:ascii="Times New Roman" w:hAnsi="Times New Roman" w:cs="Times New Roman"/>
          <w:sz w:val="24"/>
          <w:szCs w:val="24"/>
        </w:rPr>
        <w:t>, Letöltés dátuma: 2015.08.07.</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eastAsia="TimesNewRomanPSMT" w:hAnsi="Times New Roman" w:cs="Times New Roman"/>
          <w:bCs/>
          <w:sz w:val="24"/>
          <w:szCs w:val="24"/>
        </w:rPr>
        <w:t xml:space="preserve">Ernst and Young (2014b): </w:t>
      </w:r>
      <w:proofErr w:type="spellStart"/>
      <w:r w:rsidRPr="008C200C">
        <w:rPr>
          <w:rFonts w:ascii="Times New Roman" w:eastAsia="TimesNewRomanPSMT" w:hAnsi="Times New Roman" w:cs="Times New Roman"/>
          <w:bCs/>
          <w:sz w:val="24"/>
          <w:szCs w:val="24"/>
        </w:rPr>
        <w:t>Impairment</w:t>
      </w:r>
      <w:proofErr w:type="spellEnd"/>
      <w:r w:rsidRPr="008C200C">
        <w:rPr>
          <w:rFonts w:ascii="Times New Roman" w:eastAsia="TimesNewRomanPSMT" w:hAnsi="Times New Roman" w:cs="Times New Roman"/>
          <w:bCs/>
          <w:sz w:val="24"/>
          <w:szCs w:val="24"/>
        </w:rPr>
        <w:t xml:space="preserve"> of </w:t>
      </w:r>
      <w:proofErr w:type="spellStart"/>
      <w:r w:rsidRPr="008C200C">
        <w:rPr>
          <w:rFonts w:ascii="Times New Roman" w:eastAsia="TimesNewRomanPSMT" w:hAnsi="Times New Roman" w:cs="Times New Roman"/>
          <w:bCs/>
          <w:sz w:val="24"/>
          <w:szCs w:val="24"/>
        </w:rPr>
        <w:t>financial</w:t>
      </w:r>
      <w:proofErr w:type="spellEnd"/>
      <w:r w:rsidRPr="008C200C">
        <w:rPr>
          <w:rFonts w:ascii="Times New Roman" w:eastAsia="TimesNewRomanPSMT" w:hAnsi="Times New Roman" w:cs="Times New Roman"/>
          <w:bCs/>
          <w:sz w:val="24"/>
          <w:szCs w:val="24"/>
        </w:rPr>
        <w:t xml:space="preserve"> </w:t>
      </w:r>
      <w:proofErr w:type="spellStart"/>
      <w:r w:rsidRPr="008C200C">
        <w:rPr>
          <w:rFonts w:ascii="Times New Roman" w:eastAsia="TimesNewRomanPSMT" w:hAnsi="Times New Roman" w:cs="Times New Roman"/>
          <w:bCs/>
          <w:sz w:val="24"/>
          <w:szCs w:val="24"/>
        </w:rPr>
        <w:t>instruments</w:t>
      </w:r>
      <w:proofErr w:type="spellEnd"/>
      <w:r w:rsidRPr="008C200C">
        <w:rPr>
          <w:rFonts w:ascii="Times New Roman" w:eastAsia="TimesNewRomanPSMT" w:hAnsi="Times New Roman" w:cs="Times New Roman"/>
          <w:bCs/>
          <w:sz w:val="24"/>
          <w:szCs w:val="24"/>
        </w:rPr>
        <w:t xml:space="preserve"> </w:t>
      </w:r>
      <w:proofErr w:type="spellStart"/>
      <w:proofErr w:type="gramStart"/>
      <w:r w:rsidRPr="008C200C">
        <w:rPr>
          <w:rFonts w:ascii="Times New Roman" w:eastAsia="TimesNewRomanPSMT" w:hAnsi="Times New Roman" w:cs="Times New Roman"/>
          <w:bCs/>
          <w:sz w:val="24"/>
          <w:szCs w:val="24"/>
        </w:rPr>
        <w:t>under</w:t>
      </w:r>
      <w:proofErr w:type="spellEnd"/>
      <w:r w:rsidRPr="008C200C">
        <w:rPr>
          <w:rFonts w:ascii="Times New Roman" w:eastAsia="TimesNewRomanPSMT" w:hAnsi="Times New Roman" w:cs="Times New Roman"/>
          <w:bCs/>
          <w:sz w:val="24"/>
          <w:szCs w:val="24"/>
        </w:rPr>
        <w:t xml:space="preserve">  IFRS</w:t>
      </w:r>
      <w:proofErr w:type="gramEnd"/>
      <w:r w:rsidRPr="008C200C">
        <w:rPr>
          <w:rFonts w:ascii="Times New Roman" w:eastAsia="TimesNewRomanPSMT" w:hAnsi="Times New Roman" w:cs="Times New Roman"/>
          <w:bCs/>
          <w:sz w:val="24"/>
          <w:szCs w:val="24"/>
        </w:rPr>
        <w:t xml:space="preserve"> 9. </w:t>
      </w:r>
      <w:hyperlink r:id="rId17" w:history="1">
        <w:r w:rsidRPr="008C200C">
          <w:rPr>
            <w:rStyle w:val="Hiperhivatkozs"/>
            <w:rFonts w:ascii="Times New Roman" w:hAnsi="Times New Roman" w:cs="Times New Roman"/>
            <w:sz w:val="24"/>
            <w:szCs w:val="24"/>
          </w:rPr>
          <w:t>http://www.ey.com/Publication/vwLUAssets/Applying_IFRS:_Impairment_of_financial_instruments_under_IFRS_9/$FILE/Apply-FI-Dec2014.pdf</w:t>
        </w:r>
      </w:hyperlink>
      <w:r w:rsidRPr="008C200C">
        <w:rPr>
          <w:rFonts w:ascii="Times New Roman" w:hAnsi="Times New Roman" w:cs="Times New Roman"/>
          <w:sz w:val="24"/>
          <w:szCs w:val="24"/>
        </w:rPr>
        <w:t>, Letöltés dátuma: 2015.08.07.</w:t>
      </w:r>
    </w:p>
    <w:p w:rsidR="00FF0C9A"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eastAsia="TimesNewRomanPSMT" w:hAnsi="Times New Roman" w:cs="Times New Roman"/>
          <w:bCs/>
          <w:sz w:val="24"/>
          <w:szCs w:val="24"/>
        </w:rPr>
        <w:t xml:space="preserve">Ernst and Young (2015): </w:t>
      </w:r>
      <w:proofErr w:type="spellStart"/>
      <w:r w:rsidRPr="008C200C">
        <w:rPr>
          <w:rFonts w:ascii="Times New Roman" w:eastAsia="TimesNewRomanPSMT" w:hAnsi="Times New Roman" w:cs="Times New Roman"/>
          <w:bCs/>
          <w:sz w:val="24"/>
          <w:szCs w:val="24"/>
        </w:rPr>
        <w:t>Classification</w:t>
      </w:r>
      <w:proofErr w:type="spellEnd"/>
      <w:r w:rsidRPr="008C200C">
        <w:rPr>
          <w:rFonts w:ascii="Times New Roman" w:eastAsia="TimesNewRomanPSMT" w:hAnsi="Times New Roman" w:cs="Times New Roman"/>
          <w:bCs/>
          <w:sz w:val="24"/>
          <w:szCs w:val="24"/>
        </w:rPr>
        <w:t xml:space="preserve"> of </w:t>
      </w:r>
      <w:proofErr w:type="spellStart"/>
      <w:r w:rsidRPr="008C200C">
        <w:rPr>
          <w:rFonts w:ascii="Times New Roman" w:eastAsia="TimesNewRomanPSMT" w:hAnsi="Times New Roman" w:cs="Times New Roman"/>
          <w:bCs/>
          <w:sz w:val="24"/>
          <w:szCs w:val="24"/>
        </w:rPr>
        <w:t>financial</w:t>
      </w:r>
      <w:proofErr w:type="spellEnd"/>
      <w:r w:rsidRPr="008C200C">
        <w:rPr>
          <w:rFonts w:ascii="Times New Roman" w:eastAsia="TimesNewRomanPSMT" w:hAnsi="Times New Roman" w:cs="Times New Roman"/>
          <w:bCs/>
          <w:sz w:val="24"/>
          <w:szCs w:val="24"/>
        </w:rPr>
        <w:t xml:space="preserve"> </w:t>
      </w:r>
      <w:proofErr w:type="spellStart"/>
      <w:r w:rsidRPr="008C200C">
        <w:rPr>
          <w:rFonts w:ascii="Times New Roman" w:eastAsia="TimesNewRomanPSMT" w:hAnsi="Times New Roman" w:cs="Times New Roman"/>
          <w:bCs/>
          <w:sz w:val="24"/>
          <w:szCs w:val="24"/>
        </w:rPr>
        <w:t>instruments</w:t>
      </w:r>
      <w:proofErr w:type="spellEnd"/>
      <w:r w:rsidRPr="008C200C">
        <w:rPr>
          <w:rFonts w:ascii="Times New Roman" w:eastAsia="TimesNewRomanPSMT" w:hAnsi="Times New Roman" w:cs="Times New Roman"/>
          <w:bCs/>
          <w:sz w:val="24"/>
          <w:szCs w:val="24"/>
        </w:rPr>
        <w:t xml:space="preserve"> </w:t>
      </w:r>
      <w:proofErr w:type="spellStart"/>
      <w:proofErr w:type="gramStart"/>
      <w:r w:rsidRPr="008C200C">
        <w:rPr>
          <w:rFonts w:ascii="Times New Roman" w:eastAsia="TimesNewRomanPSMT" w:hAnsi="Times New Roman" w:cs="Times New Roman"/>
          <w:bCs/>
          <w:sz w:val="24"/>
          <w:szCs w:val="24"/>
        </w:rPr>
        <w:t>under</w:t>
      </w:r>
      <w:proofErr w:type="spellEnd"/>
      <w:r w:rsidRPr="008C200C">
        <w:rPr>
          <w:rFonts w:ascii="Times New Roman" w:eastAsia="TimesNewRomanPSMT" w:hAnsi="Times New Roman" w:cs="Times New Roman"/>
          <w:bCs/>
          <w:sz w:val="24"/>
          <w:szCs w:val="24"/>
        </w:rPr>
        <w:t xml:space="preserve">  IFRS</w:t>
      </w:r>
      <w:proofErr w:type="gramEnd"/>
      <w:r w:rsidRPr="008C200C">
        <w:rPr>
          <w:rFonts w:ascii="Times New Roman" w:eastAsia="TimesNewRomanPSMT" w:hAnsi="Times New Roman" w:cs="Times New Roman"/>
          <w:bCs/>
          <w:sz w:val="24"/>
          <w:szCs w:val="24"/>
        </w:rPr>
        <w:t xml:space="preserve"> 9. </w:t>
      </w:r>
      <w:hyperlink r:id="rId18" w:history="1">
        <w:r w:rsidRPr="008C200C">
          <w:rPr>
            <w:rStyle w:val="Hiperhivatkozs"/>
            <w:rFonts w:ascii="Times New Roman" w:hAnsi="Times New Roman" w:cs="Times New Roman"/>
            <w:sz w:val="24"/>
            <w:szCs w:val="24"/>
          </w:rPr>
          <w:t>http://www.ey.com/Publication/vwLUAssets/Applying_IFRS:_Classification_of_financial_instruments_under_IFRS_9./$File/Apply-FI-May2015.pdf</w:t>
        </w:r>
      </w:hyperlink>
      <w:r w:rsidRPr="008C200C">
        <w:rPr>
          <w:rFonts w:ascii="Times New Roman" w:hAnsi="Times New Roman" w:cs="Times New Roman"/>
          <w:sz w:val="24"/>
          <w:szCs w:val="24"/>
        </w:rPr>
        <w:t>, Letöltés dátuma: 2015.08.07.</w:t>
      </w:r>
    </w:p>
    <w:p w:rsidR="00FF0C9A" w:rsidRPr="00595A97"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Pr>
          <w:rFonts w:ascii="Times New Roman" w:hAnsi="Times New Roman" w:cs="Times New Roman"/>
          <w:sz w:val="24"/>
          <w:szCs w:val="24"/>
        </w:rPr>
        <w:t xml:space="preserve">IFRS </w:t>
      </w:r>
      <w:proofErr w:type="spellStart"/>
      <w:r>
        <w:rPr>
          <w:rFonts w:ascii="Times New Roman" w:hAnsi="Times New Roman" w:cs="Times New Roman"/>
          <w:sz w:val="24"/>
          <w:szCs w:val="24"/>
        </w:rPr>
        <w:t>Foundation</w:t>
      </w:r>
      <w:proofErr w:type="spellEnd"/>
      <w:r>
        <w:rPr>
          <w:rFonts w:ascii="Times New Roman" w:hAnsi="Times New Roman" w:cs="Times New Roman"/>
          <w:sz w:val="24"/>
          <w:szCs w:val="24"/>
        </w:rPr>
        <w:t xml:space="preserve">, </w:t>
      </w:r>
      <w:r w:rsidRPr="008C200C">
        <w:rPr>
          <w:rFonts w:ascii="Times New Roman" w:hAnsi="Times New Roman" w:cs="Times New Roman"/>
          <w:sz w:val="24"/>
          <w:szCs w:val="24"/>
        </w:rPr>
        <w:t>IASB</w:t>
      </w:r>
      <w:r>
        <w:rPr>
          <w:rFonts w:ascii="Times New Roman" w:hAnsi="Times New Roman" w:cs="Times New Roman"/>
          <w:sz w:val="24"/>
          <w:szCs w:val="24"/>
        </w:rPr>
        <w:t xml:space="preserve"> honlapja</w:t>
      </w:r>
      <w:r w:rsidRPr="008C200C">
        <w:rPr>
          <w:rFonts w:ascii="Times New Roman" w:hAnsi="Times New Roman" w:cs="Times New Roman"/>
          <w:sz w:val="24"/>
          <w:szCs w:val="24"/>
        </w:rPr>
        <w:t xml:space="preserve">. </w:t>
      </w:r>
      <w:hyperlink r:id="rId19" w:history="1">
        <w:r w:rsidRPr="008C200C">
          <w:rPr>
            <w:rStyle w:val="Hiperhivatkozs"/>
            <w:rFonts w:ascii="Times New Roman" w:hAnsi="Times New Roman" w:cs="Times New Roman"/>
            <w:sz w:val="24"/>
            <w:szCs w:val="24"/>
          </w:rPr>
          <w:t>http://www.ifrs.org/Pages/default.aspx</w:t>
        </w:r>
      </w:hyperlink>
      <w:r w:rsidRPr="008C200C">
        <w:rPr>
          <w:rFonts w:ascii="Times New Roman" w:hAnsi="Times New Roman" w:cs="Times New Roman"/>
          <w:sz w:val="24"/>
          <w:szCs w:val="24"/>
        </w:rPr>
        <w:t>, Letöltés dátuma: 2015.05.23.</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Karai Éva (2014): Pénzügyi Instrumentumok számvitele. Budapesti Műszaki és Gazdaságtudományi Egyetem, Budapest.</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bCs/>
          <w:iCs/>
          <w:sz w:val="24"/>
          <w:szCs w:val="24"/>
        </w:rPr>
      </w:pPr>
      <w:proofErr w:type="spellStart"/>
      <w:r w:rsidRPr="008C200C">
        <w:rPr>
          <w:rFonts w:ascii="Times New Roman" w:hAnsi="Times New Roman" w:cs="Times New Roman"/>
          <w:bCs/>
          <w:iCs/>
          <w:sz w:val="24"/>
          <w:szCs w:val="24"/>
        </w:rPr>
        <w:t>Karajz</w:t>
      </w:r>
      <w:proofErr w:type="spellEnd"/>
      <w:r w:rsidRPr="008C200C">
        <w:rPr>
          <w:rFonts w:ascii="Times New Roman" w:hAnsi="Times New Roman" w:cs="Times New Roman"/>
          <w:bCs/>
          <w:iCs/>
          <w:sz w:val="24"/>
          <w:szCs w:val="24"/>
        </w:rPr>
        <w:t xml:space="preserve"> Sándor (2011): </w:t>
      </w:r>
      <w:r w:rsidRPr="008C200C">
        <w:rPr>
          <w:rFonts w:ascii="Times New Roman" w:hAnsi="Times New Roman" w:cs="Times New Roman"/>
          <w:bCs/>
          <w:sz w:val="24"/>
          <w:szCs w:val="24"/>
        </w:rPr>
        <w:t xml:space="preserve">Piacszerkezeti változások a globalizáció tükrében. </w:t>
      </w:r>
      <w:proofErr w:type="spellStart"/>
      <w:r w:rsidRPr="008C200C">
        <w:rPr>
          <w:rFonts w:ascii="Times New Roman" w:hAnsi="Times New Roman" w:cs="Times New Roman"/>
          <w:bCs/>
          <w:sz w:val="24"/>
          <w:szCs w:val="24"/>
        </w:rPr>
        <w:t>In</w:t>
      </w:r>
      <w:proofErr w:type="spellEnd"/>
      <w:r w:rsidRPr="008C200C">
        <w:rPr>
          <w:rFonts w:ascii="Times New Roman" w:hAnsi="Times New Roman" w:cs="Times New Roman"/>
          <w:bCs/>
          <w:sz w:val="24"/>
          <w:szCs w:val="24"/>
        </w:rPr>
        <w:t xml:space="preserve">: Tudásalapú társadalom – tudásteremtés – tudástranszfer – </w:t>
      </w:r>
      <w:proofErr w:type="spellStart"/>
      <w:r w:rsidRPr="008C200C">
        <w:rPr>
          <w:rFonts w:ascii="Times New Roman" w:hAnsi="Times New Roman" w:cs="Times New Roman"/>
          <w:bCs/>
          <w:sz w:val="24"/>
          <w:szCs w:val="24"/>
        </w:rPr>
        <w:t>értékrendváltás</w:t>
      </w:r>
      <w:proofErr w:type="spellEnd"/>
      <w:r w:rsidRPr="008C200C">
        <w:rPr>
          <w:rFonts w:ascii="Times New Roman" w:hAnsi="Times New Roman" w:cs="Times New Roman"/>
          <w:bCs/>
          <w:sz w:val="24"/>
          <w:szCs w:val="24"/>
        </w:rPr>
        <w:t>: VIII. Nemzetközi Tudományos Konferencia, Miskolc.</w:t>
      </w:r>
    </w:p>
    <w:p w:rsidR="00FF0C9A" w:rsidRPr="00310914"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 xml:space="preserve">Kovács Dániel Máté (2013): A valós érték számvitel szerepe és alkalmazása a magyar szabályozási környezetben. Budapesti </w:t>
      </w:r>
      <w:proofErr w:type="spellStart"/>
      <w:r w:rsidRPr="008C200C">
        <w:rPr>
          <w:rFonts w:ascii="Times New Roman" w:hAnsi="Times New Roman" w:cs="Times New Roman"/>
          <w:sz w:val="24"/>
          <w:szCs w:val="24"/>
        </w:rPr>
        <w:t>Corvinus</w:t>
      </w:r>
      <w:proofErr w:type="spellEnd"/>
      <w:r w:rsidRPr="008C200C">
        <w:rPr>
          <w:rFonts w:ascii="Times New Roman" w:hAnsi="Times New Roman" w:cs="Times New Roman"/>
          <w:sz w:val="24"/>
          <w:szCs w:val="24"/>
        </w:rPr>
        <w:t xml:space="preserve"> Egyetem, Vezetői Számvitel Tanszék, Budapest. </w:t>
      </w:r>
      <w:hyperlink r:id="rId20" w:history="1">
        <w:r w:rsidRPr="00310914">
          <w:rPr>
            <w:rStyle w:val="Hiperhivatkozs"/>
            <w:rFonts w:ascii="Times New Roman" w:hAnsi="Times New Roman" w:cs="Times New Roman"/>
            <w:sz w:val="24"/>
            <w:szCs w:val="24"/>
          </w:rPr>
          <w:t>http://phd.lib.uni-corvinus.hu/692/1/Kovacs_Daniel_Mate_dhu.pdf</w:t>
        </w:r>
      </w:hyperlink>
      <w:r w:rsidRPr="00310914">
        <w:rPr>
          <w:rFonts w:ascii="Times New Roman" w:hAnsi="Times New Roman" w:cs="Times New Roman"/>
          <w:sz w:val="24"/>
          <w:szCs w:val="24"/>
        </w:rPr>
        <w:t>, Letöltés dátuma: 2015.08.10.</w:t>
      </w:r>
    </w:p>
    <w:p w:rsidR="00FF0C9A" w:rsidRPr="008C200C" w:rsidRDefault="00FF0C9A" w:rsidP="00174EBB">
      <w:pPr>
        <w:pStyle w:val="Listaszerbekezds"/>
        <w:numPr>
          <w:ilvl w:val="0"/>
          <w:numId w:val="62"/>
        </w:numPr>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 xml:space="preserve">Kovács Dániel Máté – </w:t>
      </w:r>
      <w:proofErr w:type="spellStart"/>
      <w:r w:rsidRPr="008C200C">
        <w:rPr>
          <w:rFonts w:ascii="Times New Roman" w:hAnsi="Times New Roman" w:cs="Times New Roman"/>
          <w:sz w:val="24"/>
          <w:szCs w:val="24"/>
        </w:rPr>
        <w:t>Mohl</w:t>
      </w:r>
      <w:proofErr w:type="spellEnd"/>
      <w:r w:rsidRPr="008C200C">
        <w:rPr>
          <w:rFonts w:ascii="Times New Roman" w:hAnsi="Times New Roman" w:cs="Times New Roman"/>
          <w:sz w:val="24"/>
          <w:szCs w:val="24"/>
        </w:rPr>
        <w:t xml:space="preserve"> Gergely (2014): Pénzügyi instrumentumok számvitele</w:t>
      </w:r>
      <w:r>
        <w:rPr>
          <w:rFonts w:ascii="Times New Roman" w:hAnsi="Times New Roman" w:cs="Times New Roman"/>
          <w:sz w:val="24"/>
          <w:szCs w:val="24"/>
        </w:rPr>
        <w:t xml:space="preserve"> (Egyetemi jegyzet)</w:t>
      </w:r>
      <w:r w:rsidRPr="008C200C">
        <w:rPr>
          <w:rFonts w:ascii="Times New Roman" w:hAnsi="Times New Roman" w:cs="Times New Roman"/>
          <w:sz w:val="24"/>
          <w:szCs w:val="24"/>
        </w:rPr>
        <w:t>. Magyar Könyvvizsgálói Kamara, Budapest.</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 xml:space="preserve">KPMG (2014a): </w:t>
      </w:r>
      <w:proofErr w:type="spellStart"/>
      <w:r w:rsidRPr="008C200C">
        <w:rPr>
          <w:rFonts w:ascii="Times New Roman" w:hAnsi="Times New Roman" w:cs="Times New Roman"/>
          <w:sz w:val="24"/>
          <w:szCs w:val="24"/>
        </w:rPr>
        <w:t>First</w:t>
      </w:r>
      <w:proofErr w:type="spellEnd"/>
      <w:r w:rsidRPr="008C200C">
        <w:rPr>
          <w:rFonts w:ascii="Times New Roman" w:hAnsi="Times New Roman" w:cs="Times New Roman"/>
          <w:sz w:val="24"/>
          <w:szCs w:val="24"/>
        </w:rPr>
        <w:t xml:space="preserve"> </w:t>
      </w:r>
      <w:proofErr w:type="spellStart"/>
      <w:r w:rsidRPr="008C200C">
        <w:rPr>
          <w:rFonts w:ascii="Times New Roman" w:hAnsi="Times New Roman" w:cs="Times New Roman"/>
          <w:sz w:val="24"/>
          <w:szCs w:val="24"/>
        </w:rPr>
        <w:t>impressions</w:t>
      </w:r>
      <w:proofErr w:type="spellEnd"/>
      <w:r w:rsidRPr="008C200C">
        <w:rPr>
          <w:rFonts w:ascii="Times New Roman" w:hAnsi="Times New Roman" w:cs="Times New Roman"/>
          <w:sz w:val="24"/>
          <w:szCs w:val="24"/>
        </w:rPr>
        <w:t xml:space="preserve">: IFRS 9 Financial Instruments. </w:t>
      </w:r>
      <w:hyperlink r:id="rId21" w:history="1">
        <w:r w:rsidRPr="008C200C">
          <w:rPr>
            <w:rStyle w:val="Hiperhivatkozs"/>
            <w:rFonts w:ascii="Times New Roman" w:hAnsi="Times New Roman" w:cs="Times New Roman"/>
            <w:sz w:val="24"/>
            <w:szCs w:val="24"/>
          </w:rPr>
          <w:t>http://www.kpmg.com/Global/en/IssuesAndInsights/ArticlesPublications/first-impressions/Documents/first-impressions-IFRS9.pdf</w:t>
        </w:r>
      </w:hyperlink>
      <w:r w:rsidRPr="008C200C">
        <w:rPr>
          <w:rFonts w:ascii="Times New Roman" w:hAnsi="Times New Roman" w:cs="Times New Roman"/>
          <w:sz w:val="24"/>
          <w:szCs w:val="24"/>
        </w:rPr>
        <w:t>, Letöltés dátuma: 2015.08.07.</w:t>
      </w:r>
    </w:p>
    <w:p w:rsidR="00FF0C9A" w:rsidRDefault="00FF0C9A" w:rsidP="00174EBB">
      <w:pPr>
        <w:pStyle w:val="Listaszerbekezds"/>
        <w:numPr>
          <w:ilvl w:val="0"/>
          <w:numId w:val="62"/>
        </w:numPr>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KPMG (2014b): Pénzügyi instrumentumok – a</w:t>
      </w:r>
      <w:r>
        <w:rPr>
          <w:rFonts w:ascii="Times New Roman" w:hAnsi="Times New Roman" w:cs="Times New Roman"/>
          <w:sz w:val="24"/>
          <w:szCs w:val="24"/>
        </w:rPr>
        <w:t xml:space="preserve"> kész standard. </w:t>
      </w:r>
      <w:hyperlink r:id="rId22" w:history="1">
        <w:r w:rsidRPr="008C200C">
          <w:rPr>
            <w:rStyle w:val="Hiperhivatkozs"/>
            <w:rFonts w:ascii="Times New Roman" w:hAnsi="Times New Roman" w:cs="Times New Roman"/>
            <w:sz w:val="24"/>
            <w:szCs w:val="24"/>
          </w:rPr>
          <w:t>http://www.kpmg.com/HU/hu/IssuesAndInsights/ArticlesPublications/penzugyi-instrumentumok/Documents/P%C3%A9nz%C3%BCgyi%20instrumentumok%20%E2%80%93%20a%20k%C3%A9sz%20standard.pdf</w:t>
        </w:r>
      </w:hyperlink>
      <w:r w:rsidRPr="008C200C">
        <w:rPr>
          <w:rFonts w:ascii="Times New Roman" w:hAnsi="Times New Roman" w:cs="Times New Roman"/>
          <w:sz w:val="24"/>
          <w:szCs w:val="24"/>
        </w:rPr>
        <w:t>, Letöltés dátuma: 2015.08.1</w:t>
      </w:r>
      <w:r>
        <w:rPr>
          <w:rFonts w:ascii="Times New Roman" w:hAnsi="Times New Roman" w:cs="Times New Roman"/>
          <w:sz w:val="24"/>
          <w:szCs w:val="24"/>
        </w:rPr>
        <w:t>5</w:t>
      </w:r>
      <w:r w:rsidRPr="008C200C">
        <w:rPr>
          <w:rFonts w:ascii="Times New Roman" w:hAnsi="Times New Roman" w:cs="Times New Roman"/>
          <w:sz w:val="24"/>
          <w:szCs w:val="24"/>
        </w:rPr>
        <w:t>.</w:t>
      </w:r>
    </w:p>
    <w:p w:rsidR="00FF0C9A" w:rsidRPr="00211B38" w:rsidRDefault="00FF0C9A" w:rsidP="00174EBB">
      <w:pPr>
        <w:pStyle w:val="Listaszerbekezds"/>
        <w:numPr>
          <w:ilvl w:val="0"/>
          <w:numId w:val="62"/>
        </w:numPr>
        <w:spacing w:after="120" w:line="360" w:lineRule="auto"/>
        <w:ind w:left="924" w:hanging="357"/>
        <w:contextualSpacing w:val="0"/>
        <w:rPr>
          <w:rFonts w:ascii="Times New Roman" w:hAnsi="Times New Roman" w:cs="Times New Roman"/>
          <w:sz w:val="24"/>
          <w:szCs w:val="24"/>
        </w:rPr>
      </w:pPr>
      <w:proofErr w:type="spellStart"/>
      <w:r>
        <w:rPr>
          <w:rFonts w:ascii="Times New Roman" w:hAnsi="Times New Roman" w:cs="Times New Roman"/>
          <w:sz w:val="24"/>
          <w:szCs w:val="24"/>
        </w:rPr>
        <w:t>PricewaterhouseCoopers</w:t>
      </w:r>
      <w:proofErr w:type="spellEnd"/>
      <w:r>
        <w:rPr>
          <w:rFonts w:ascii="Times New Roman" w:hAnsi="Times New Roman" w:cs="Times New Roman"/>
          <w:sz w:val="24"/>
          <w:szCs w:val="24"/>
        </w:rPr>
        <w:t xml:space="preserve"> (2015): Zöld lámpát kapott az IFRS magyarországi bevezetése. </w:t>
      </w:r>
      <w:hyperlink r:id="rId23" w:history="1">
        <w:r w:rsidRPr="004460B0">
          <w:rPr>
            <w:rStyle w:val="Hiperhivatkozs"/>
            <w:rFonts w:ascii="Times New Roman" w:hAnsi="Times New Roman" w:cs="Times New Roman"/>
            <w:sz w:val="24"/>
            <w:szCs w:val="24"/>
          </w:rPr>
          <w:t>http://www.pwc.com/hu/hu/sajtoszoba/2015/zold_lampa_press.html</w:t>
        </w:r>
      </w:hyperlink>
      <w:r>
        <w:rPr>
          <w:rFonts w:ascii="Times New Roman" w:hAnsi="Times New Roman" w:cs="Times New Roman"/>
          <w:sz w:val="24"/>
          <w:szCs w:val="24"/>
        </w:rPr>
        <w:t>, Letöltés dátuma: 2015.10.30.</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eastAsia="TimesNewRomanPSMT" w:hAnsi="Times New Roman" w:cs="Times New Roman"/>
          <w:bCs/>
          <w:sz w:val="24"/>
          <w:szCs w:val="24"/>
        </w:rPr>
      </w:pPr>
      <w:r w:rsidRPr="008C200C">
        <w:rPr>
          <w:rFonts w:ascii="Times New Roman" w:eastAsia="TimesNewRomanPSMT" w:hAnsi="Times New Roman" w:cs="Times New Roman"/>
          <w:bCs/>
          <w:sz w:val="24"/>
          <w:szCs w:val="24"/>
        </w:rPr>
        <w:t xml:space="preserve">Somogyi Csizmaziáné Kováts Erzsébet (2008): A pénzügyi beszámolás jövője az </w:t>
      </w:r>
      <w:proofErr w:type="spellStart"/>
      <w:r w:rsidRPr="008C200C">
        <w:rPr>
          <w:rFonts w:ascii="Times New Roman" w:eastAsia="TimesNewRomanPSMT" w:hAnsi="Times New Roman" w:cs="Times New Roman"/>
          <w:bCs/>
          <w:sz w:val="24"/>
          <w:szCs w:val="24"/>
        </w:rPr>
        <w:t>IFRS-ek</w:t>
      </w:r>
      <w:proofErr w:type="spellEnd"/>
      <w:r w:rsidRPr="008C200C">
        <w:rPr>
          <w:rFonts w:ascii="Times New Roman" w:eastAsia="TimesNewRomanPSMT" w:hAnsi="Times New Roman" w:cs="Times New Roman"/>
          <w:bCs/>
          <w:sz w:val="24"/>
          <w:szCs w:val="24"/>
        </w:rPr>
        <w:t xml:space="preserve"> tükrében (A kockázatok megjelenítése a számvitelben)</w:t>
      </w:r>
      <w:r>
        <w:rPr>
          <w:rFonts w:ascii="Times New Roman" w:eastAsia="TimesNewRomanPSMT" w:hAnsi="Times New Roman" w:cs="Times New Roman"/>
          <w:bCs/>
          <w:sz w:val="24"/>
          <w:szCs w:val="24"/>
        </w:rPr>
        <w:t xml:space="preserve">. </w:t>
      </w:r>
      <w:r w:rsidRPr="008C200C">
        <w:rPr>
          <w:rFonts w:ascii="Times New Roman" w:eastAsia="TimesNewRomanPSMT" w:hAnsi="Times New Roman" w:cs="Times New Roman"/>
          <w:bCs/>
          <w:sz w:val="24"/>
          <w:szCs w:val="24"/>
        </w:rPr>
        <w:t>Pannon Egyetem, Veszprém.</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Székács Péterné prezentációja, 2015. március 3</w:t>
      </w:r>
      <w:proofErr w:type="gramStart"/>
      <w:r w:rsidRPr="008C200C">
        <w:rPr>
          <w:rFonts w:ascii="Times New Roman" w:hAnsi="Times New Roman" w:cs="Times New Roman"/>
          <w:sz w:val="24"/>
          <w:szCs w:val="24"/>
        </w:rPr>
        <w:t>.:</w:t>
      </w:r>
      <w:proofErr w:type="gramEnd"/>
      <w:r w:rsidRPr="008C200C">
        <w:rPr>
          <w:rFonts w:ascii="Times New Roman" w:hAnsi="Times New Roman" w:cs="Times New Roman"/>
          <w:sz w:val="24"/>
          <w:szCs w:val="24"/>
        </w:rPr>
        <w:t xml:space="preserve"> Pénzügyi instrumentumok számvitele: IAS 39 – Pénzügyi instrumentumok: Megjelenítés és értékelés.</w:t>
      </w:r>
    </w:p>
    <w:p w:rsidR="00FF0C9A" w:rsidRPr="008C200C" w:rsidRDefault="00FF0C9A" w:rsidP="00174EBB">
      <w:pPr>
        <w:pStyle w:val="Listaszerbekezds"/>
        <w:numPr>
          <w:ilvl w:val="0"/>
          <w:numId w:val="62"/>
        </w:numPr>
        <w:autoSpaceDE w:val="0"/>
        <w:autoSpaceDN w:val="0"/>
        <w:adjustRightInd w:val="0"/>
        <w:spacing w:after="120" w:line="360" w:lineRule="auto"/>
        <w:ind w:left="924" w:hanging="357"/>
        <w:contextualSpacing w:val="0"/>
        <w:rPr>
          <w:rFonts w:ascii="Times New Roman" w:hAnsi="Times New Roman" w:cs="Times New Roman"/>
          <w:sz w:val="24"/>
          <w:szCs w:val="24"/>
        </w:rPr>
      </w:pPr>
      <w:r w:rsidRPr="008C200C">
        <w:rPr>
          <w:rFonts w:ascii="Times New Roman" w:hAnsi="Times New Roman" w:cs="Times New Roman"/>
          <w:sz w:val="24"/>
          <w:szCs w:val="24"/>
        </w:rPr>
        <w:t xml:space="preserve">Tóth Kornél Tibor (2014): </w:t>
      </w:r>
      <w:r w:rsidRPr="008C200C">
        <w:rPr>
          <w:rFonts w:ascii="Times New Roman" w:eastAsia="TimesNewRomanPSMT" w:hAnsi="Times New Roman" w:cs="Times New Roman"/>
          <w:sz w:val="24"/>
          <w:szCs w:val="24"/>
        </w:rPr>
        <w:t>A pénzügyi kimutatások hasznossága és a számviteli elvek átalakulása az értékpapírok és a származékos ügyletek banki kockázatokra gyakorolt hatásának vizsgálatán keresztül. Debreceni Egyetem, Debrecen.</w:t>
      </w:r>
    </w:p>
    <w:p w:rsidR="00FF0C9A" w:rsidRDefault="00FF0C9A" w:rsidP="00FF0C9A">
      <w:pPr>
        <w:pStyle w:val="Cmsor1"/>
      </w:pPr>
      <w:bookmarkStart w:id="36" w:name="_Toc370196974"/>
      <w:bookmarkStart w:id="37" w:name="_Toc434689813"/>
      <w:r>
        <w:t>FELHASZNÁLT</w:t>
      </w:r>
      <w:bookmarkEnd w:id="36"/>
      <w:r>
        <w:t xml:space="preserve"> JOGFORRÁSOK</w:t>
      </w:r>
      <w:bookmarkEnd w:id="37"/>
    </w:p>
    <w:p w:rsidR="00FF0C9A" w:rsidRDefault="00FF0C9A" w:rsidP="00FF0C9A">
      <w:pPr>
        <w:pStyle w:val="NormlWeb"/>
        <w:spacing w:before="0" w:beforeAutospacing="0" w:after="120" w:afterAutospacing="0" w:line="360" w:lineRule="auto"/>
        <w:jc w:val="both"/>
      </w:pPr>
      <w:r>
        <w:t>A felsoroltak 2015.10.30-án hatályos változatai:</w:t>
      </w:r>
    </w:p>
    <w:p w:rsidR="00FF0C9A" w:rsidRDefault="00FF0C9A" w:rsidP="00174EBB">
      <w:pPr>
        <w:pStyle w:val="Listaszerbekezds"/>
        <w:numPr>
          <w:ilvl w:val="0"/>
          <w:numId w:val="63"/>
        </w:numPr>
        <w:autoSpaceDE w:val="0"/>
        <w:autoSpaceDN w:val="0"/>
        <w:adjustRightInd w:val="0"/>
        <w:spacing w:after="60" w:line="360" w:lineRule="auto"/>
        <w:ind w:left="924" w:hanging="357"/>
        <w:contextualSpacing w:val="0"/>
        <w:rPr>
          <w:rFonts w:ascii="Times New Roman" w:hAnsi="Times New Roman" w:cs="Times New Roman"/>
          <w:sz w:val="24"/>
          <w:szCs w:val="24"/>
        </w:rPr>
      </w:pPr>
      <w:r>
        <w:rPr>
          <w:rFonts w:ascii="Times New Roman" w:hAnsi="Times New Roman" w:cs="Times New Roman"/>
          <w:sz w:val="24"/>
          <w:szCs w:val="24"/>
        </w:rPr>
        <w:t>IAS 17</w:t>
      </w:r>
    </w:p>
    <w:p w:rsidR="00FF0C9A" w:rsidRDefault="00FF0C9A" w:rsidP="00174EBB">
      <w:pPr>
        <w:pStyle w:val="Listaszerbekezds"/>
        <w:numPr>
          <w:ilvl w:val="0"/>
          <w:numId w:val="63"/>
        </w:numPr>
        <w:autoSpaceDE w:val="0"/>
        <w:autoSpaceDN w:val="0"/>
        <w:adjustRightInd w:val="0"/>
        <w:spacing w:after="60" w:line="360" w:lineRule="auto"/>
        <w:ind w:left="924" w:hanging="357"/>
        <w:contextualSpacing w:val="0"/>
        <w:rPr>
          <w:rFonts w:ascii="Times New Roman" w:hAnsi="Times New Roman" w:cs="Times New Roman"/>
          <w:sz w:val="24"/>
          <w:szCs w:val="24"/>
        </w:rPr>
      </w:pPr>
      <w:r>
        <w:rPr>
          <w:rFonts w:ascii="Times New Roman" w:hAnsi="Times New Roman" w:cs="Times New Roman"/>
          <w:sz w:val="24"/>
          <w:szCs w:val="24"/>
        </w:rPr>
        <w:t>IAS 32</w:t>
      </w:r>
    </w:p>
    <w:p w:rsidR="00FF0C9A" w:rsidRPr="00ED719E" w:rsidRDefault="00FF0C9A" w:rsidP="00174EBB">
      <w:pPr>
        <w:pStyle w:val="Listaszerbekezds"/>
        <w:numPr>
          <w:ilvl w:val="0"/>
          <w:numId w:val="63"/>
        </w:numPr>
        <w:autoSpaceDE w:val="0"/>
        <w:autoSpaceDN w:val="0"/>
        <w:adjustRightInd w:val="0"/>
        <w:spacing w:after="60" w:line="360" w:lineRule="auto"/>
        <w:ind w:left="924" w:hanging="357"/>
        <w:contextualSpacing w:val="0"/>
        <w:rPr>
          <w:rFonts w:ascii="Times New Roman" w:hAnsi="Times New Roman" w:cs="Times New Roman"/>
          <w:sz w:val="24"/>
          <w:szCs w:val="24"/>
        </w:rPr>
      </w:pPr>
      <w:r>
        <w:rPr>
          <w:rFonts w:ascii="Times New Roman" w:hAnsi="Times New Roman" w:cs="Times New Roman"/>
          <w:sz w:val="24"/>
          <w:szCs w:val="24"/>
        </w:rPr>
        <w:t>IAS 39</w:t>
      </w:r>
    </w:p>
    <w:p w:rsidR="00FF0C9A" w:rsidRDefault="00FF0C9A" w:rsidP="00174EBB">
      <w:pPr>
        <w:pStyle w:val="Listaszerbekezds"/>
        <w:numPr>
          <w:ilvl w:val="0"/>
          <w:numId w:val="63"/>
        </w:numPr>
        <w:autoSpaceDE w:val="0"/>
        <w:autoSpaceDN w:val="0"/>
        <w:adjustRightInd w:val="0"/>
        <w:spacing w:after="60" w:line="360" w:lineRule="auto"/>
        <w:ind w:left="924" w:hanging="357"/>
        <w:contextualSpacing w:val="0"/>
        <w:rPr>
          <w:rFonts w:ascii="Times New Roman" w:hAnsi="Times New Roman" w:cs="Times New Roman"/>
          <w:sz w:val="24"/>
          <w:szCs w:val="24"/>
        </w:rPr>
      </w:pPr>
      <w:r>
        <w:rPr>
          <w:rFonts w:ascii="Times New Roman" w:hAnsi="Times New Roman" w:cs="Times New Roman"/>
          <w:sz w:val="24"/>
          <w:szCs w:val="24"/>
        </w:rPr>
        <w:t>IFRS 9</w:t>
      </w:r>
    </w:p>
    <w:p w:rsidR="00FF0C9A" w:rsidRPr="00ED719E" w:rsidRDefault="00FF0C9A" w:rsidP="00174EBB">
      <w:pPr>
        <w:pStyle w:val="Listaszerbekezds"/>
        <w:numPr>
          <w:ilvl w:val="0"/>
          <w:numId w:val="63"/>
        </w:numPr>
        <w:autoSpaceDE w:val="0"/>
        <w:autoSpaceDN w:val="0"/>
        <w:adjustRightInd w:val="0"/>
        <w:spacing w:after="60" w:line="360" w:lineRule="auto"/>
        <w:ind w:left="924" w:hanging="357"/>
        <w:contextualSpacing w:val="0"/>
        <w:rPr>
          <w:rFonts w:ascii="Times New Roman" w:hAnsi="Times New Roman" w:cs="Times New Roman"/>
          <w:sz w:val="24"/>
          <w:szCs w:val="24"/>
        </w:rPr>
      </w:pPr>
      <w:r>
        <w:rPr>
          <w:rFonts w:ascii="Times New Roman" w:hAnsi="Times New Roman" w:cs="Times New Roman"/>
          <w:sz w:val="24"/>
          <w:szCs w:val="24"/>
        </w:rPr>
        <w:t>IFRS 13</w:t>
      </w:r>
    </w:p>
    <w:p w:rsidR="00994DC9" w:rsidRDefault="00994DC9"/>
    <w:sectPr w:rsidR="00994DC9" w:rsidSect="00994DC9">
      <w:footerReference w:type="default" r:id="rId24"/>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9A" w:rsidRDefault="00524E9A" w:rsidP="00FF0C9A">
      <w:pPr>
        <w:spacing w:after="0" w:line="240" w:lineRule="auto"/>
      </w:pPr>
      <w:r>
        <w:separator/>
      </w:r>
    </w:p>
  </w:endnote>
  <w:endnote w:type="continuationSeparator" w:id="0">
    <w:p w:rsidR="00524E9A" w:rsidRDefault="00524E9A" w:rsidP="00FF0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T13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51"/>
      <w:docPartObj>
        <w:docPartGallery w:val="Page Numbers (Bottom of Page)"/>
        <w:docPartUnique/>
      </w:docPartObj>
    </w:sdtPr>
    <w:sdtContent>
      <w:p w:rsidR="00524E9A" w:rsidRDefault="00524E9A">
        <w:pPr>
          <w:pStyle w:val="llb"/>
          <w:jc w:val="right"/>
        </w:pPr>
        <w:fldSimple w:instr=" PAGE   \* MERGEFORMAT ">
          <w:r w:rsidR="00D12ED6">
            <w:rPr>
              <w:noProof/>
            </w:rPr>
            <w:t>52</w:t>
          </w:r>
        </w:fldSimple>
      </w:p>
    </w:sdtContent>
  </w:sdt>
  <w:p w:rsidR="00524E9A" w:rsidRDefault="00524E9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9A" w:rsidRDefault="00524E9A" w:rsidP="00FF0C9A">
      <w:pPr>
        <w:spacing w:after="0" w:line="240" w:lineRule="auto"/>
      </w:pPr>
      <w:r>
        <w:separator/>
      </w:r>
    </w:p>
  </w:footnote>
  <w:footnote w:type="continuationSeparator" w:id="0">
    <w:p w:rsidR="00524E9A" w:rsidRDefault="00524E9A" w:rsidP="00FF0C9A">
      <w:pPr>
        <w:spacing w:after="0" w:line="240" w:lineRule="auto"/>
      </w:pPr>
      <w:r>
        <w:continuationSeparator/>
      </w:r>
    </w:p>
  </w:footnote>
  <w:footnote w:id="1">
    <w:p w:rsidR="00524E9A" w:rsidRDefault="00524E9A" w:rsidP="00FF0C9A">
      <w:pPr>
        <w:pStyle w:val="Lbjegyzetszveg"/>
      </w:pPr>
      <w:r>
        <w:rPr>
          <w:rStyle w:val="Lbjegyzet-hivatkozs"/>
        </w:rPr>
        <w:footnoteRef/>
      </w:r>
      <w:r>
        <w:t xml:space="preserve"> FVTPL (eredménnyel szemben) vagy FVTOCI (egyéb átfogó eredménnyel szemben)</w:t>
      </w:r>
    </w:p>
  </w:footnote>
  <w:footnote w:id="2">
    <w:p w:rsidR="00524E9A" w:rsidRDefault="00524E9A" w:rsidP="00FF0C9A">
      <w:pPr>
        <w:pStyle w:val="Lbjegyzetszveg"/>
      </w:pPr>
      <w:r>
        <w:rPr>
          <w:rStyle w:val="Lbjegyzet-hivatkozs"/>
        </w:rPr>
        <w:footnoteRef/>
      </w:r>
      <w:r>
        <w:t xml:space="preserve"> A kamat azon része, amely csak az idő múlásából fakad, nincs köze semmilyen kockázathoz vagy költséghez. </w:t>
      </w:r>
    </w:p>
  </w:footnote>
  <w:footnote w:id="3">
    <w:p w:rsidR="00524E9A" w:rsidRDefault="00524E9A" w:rsidP="00FF0C9A">
      <w:pPr>
        <w:pStyle w:val="Lbjegyzetszveg"/>
      </w:pPr>
      <w:r>
        <w:rPr>
          <w:rStyle w:val="Lbjegyzet-hivatkozs"/>
        </w:rPr>
        <w:footnoteRef/>
      </w:r>
      <w:r>
        <w:t xml:space="preserve"> Például ha az idő múlása és a kamatláb közötti kapcsolat tökéletlen.</w:t>
      </w:r>
    </w:p>
  </w:footnote>
  <w:footnote w:id="4">
    <w:p w:rsidR="00524E9A" w:rsidRDefault="00524E9A" w:rsidP="00FF0C9A">
      <w:pPr>
        <w:pStyle w:val="Lbjegyzetszveg"/>
      </w:pPr>
      <w:r>
        <w:rPr>
          <w:rStyle w:val="Lbjegyzet-hivatkozs"/>
        </w:rPr>
        <w:footnoteRef/>
      </w:r>
      <w:r>
        <w:t xml:space="preserve"> </w:t>
      </w:r>
      <w:proofErr w:type="gramStart"/>
      <w:r>
        <w:t>előfordulhat</w:t>
      </w:r>
      <w:proofErr w:type="gramEnd"/>
      <w:r>
        <w:t xml:space="preserve"> azonban, hogy értékesítik lejárat előtt</w:t>
      </w:r>
    </w:p>
  </w:footnote>
  <w:footnote w:id="5">
    <w:p w:rsidR="00524E9A" w:rsidRDefault="00524E9A" w:rsidP="00FF0C9A">
      <w:pPr>
        <w:pStyle w:val="Lbjegyzetszveg"/>
      </w:pPr>
      <w:r>
        <w:rPr>
          <w:rStyle w:val="Lbjegyzet-hivatkozs"/>
        </w:rPr>
        <w:footnoteRef/>
      </w:r>
      <w:r>
        <w:t xml:space="preserve"> </w:t>
      </w:r>
      <w:proofErr w:type="gramStart"/>
      <w:r>
        <w:t>például</w:t>
      </w:r>
      <w:proofErr w:type="gramEnd"/>
      <w:r>
        <w:t xml:space="preserve"> lejáratkor, megnőtt az adott pénzügyi eszköz hitelezési kockázata, stb.</w:t>
      </w:r>
    </w:p>
  </w:footnote>
  <w:footnote w:id="6">
    <w:p w:rsidR="00524E9A" w:rsidRDefault="00524E9A" w:rsidP="00FF0C9A">
      <w:pPr>
        <w:pStyle w:val="Lbjegyzetszveg"/>
      </w:pPr>
      <w:r>
        <w:rPr>
          <w:rStyle w:val="Lbjegyzet-hivatkozs"/>
        </w:rPr>
        <w:footnoteRef/>
      </w:r>
      <w:r>
        <w:t xml:space="preserve"> </w:t>
      </w:r>
      <w:proofErr w:type="gramStart"/>
      <w:r>
        <w:t>például</w:t>
      </w:r>
      <w:proofErr w:type="gramEnd"/>
      <w:r>
        <w:t xml:space="preserve"> a mindennapi likviditás fenntartás érdekében alkalmazhat ilyen üzleti modellt valaki</w:t>
      </w:r>
    </w:p>
  </w:footnote>
  <w:footnote w:id="7">
    <w:p w:rsidR="00524E9A" w:rsidRDefault="00524E9A" w:rsidP="00FF0C9A">
      <w:pPr>
        <w:pStyle w:val="Lbjegyzetszveg"/>
      </w:pPr>
      <w:r>
        <w:rPr>
          <w:rStyle w:val="Lbjegyzet-hivatkozs"/>
        </w:rPr>
        <w:footnoteRef/>
      </w:r>
      <w:r w:rsidR="00626828">
        <w:t xml:space="preserve"> A</w:t>
      </w:r>
      <w:r>
        <w:t>hol a legnagyobb volumenben és a forgalom legmagasabb szintjén történik a kereskedés</w:t>
      </w:r>
      <w:r w:rsidR="00626828">
        <w:t>.</w:t>
      </w:r>
    </w:p>
  </w:footnote>
  <w:footnote w:id="8">
    <w:p w:rsidR="00524E9A" w:rsidRDefault="00524E9A" w:rsidP="00FF0C9A">
      <w:pPr>
        <w:pStyle w:val="Lbjegyzetszveg"/>
      </w:pPr>
      <w:r>
        <w:rPr>
          <w:rStyle w:val="Lbjegyzet-hivatkozs"/>
        </w:rPr>
        <w:footnoteRef/>
      </w:r>
      <w:r w:rsidR="00626828">
        <w:t xml:space="preserve"> A</w:t>
      </w:r>
      <w:r>
        <w:t>hol a legnagyobb a haszon</w:t>
      </w:r>
      <w:r w:rsidR="00626828">
        <w:t>.</w:t>
      </w:r>
    </w:p>
  </w:footnote>
  <w:footnote w:id="9">
    <w:p w:rsidR="00524E9A" w:rsidRDefault="00524E9A" w:rsidP="00FF0C9A">
      <w:pPr>
        <w:pStyle w:val="Lbjegyzetszveg"/>
      </w:pPr>
      <w:r>
        <w:rPr>
          <w:rStyle w:val="Lbjegyzet-hivatkozs"/>
        </w:rPr>
        <w:footnoteRef/>
      </w:r>
      <w:r w:rsidR="00626828">
        <w:t xml:space="preserve"> N</w:t>
      </w:r>
      <w:r>
        <w:t>em konkrét szereplőket kell azonosítani, hanem az általános jellemvonásait az ilyen piaci szereplőknek</w:t>
      </w:r>
      <w:r w:rsidR="00626828">
        <w:t>.</w:t>
      </w:r>
    </w:p>
  </w:footnote>
  <w:footnote w:id="10">
    <w:p w:rsidR="00524E9A" w:rsidRDefault="00524E9A" w:rsidP="00FF0C9A">
      <w:pPr>
        <w:pStyle w:val="Lbjegyzetszveg"/>
      </w:pPr>
      <w:r>
        <w:rPr>
          <w:rStyle w:val="Lbjegyzet-hivatkozs"/>
        </w:rPr>
        <w:footnoteRef/>
      </w:r>
      <w:r w:rsidR="00126740">
        <w:t xml:space="preserve"> A</w:t>
      </w:r>
      <w:r>
        <w:t>hol kellő gyakorisággal és volumenben kereskednek ahhoz, hogy az árak alakulásáról folyamatosan információkkal szolgáljanak</w:t>
      </w:r>
      <w:r w:rsidR="00126740">
        <w:t>.</w:t>
      </w:r>
    </w:p>
  </w:footnote>
  <w:footnote w:id="11">
    <w:p w:rsidR="00524E9A" w:rsidRDefault="00524E9A" w:rsidP="00FF0C9A">
      <w:pPr>
        <w:pStyle w:val="Lbjegyzetszveg"/>
      </w:pPr>
      <w:r>
        <w:rPr>
          <w:rStyle w:val="Lbjegyzet-hivatkozs"/>
        </w:rPr>
        <w:footnoteRef/>
      </w:r>
      <w:r w:rsidR="00D74D7C">
        <w:t xml:space="preserve"> Í</w:t>
      </w:r>
      <w:r>
        <w:t>gy a pénzügyi eszköz az átsorolás napján úgy lesz értékelve, mintha mindig is amortizált bekerülési értéken lett volna értékelve</w:t>
      </w:r>
      <w:r w:rsidR="00D74D7C">
        <w:t>.</w:t>
      </w:r>
    </w:p>
  </w:footnote>
  <w:footnote w:id="12">
    <w:p w:rsidR="00524E9A" w:rsidRDefault="00524E9A" w:rsidP="00FF0C9A">
      <w:pPr>
        <w:pStyle w:val="Lbjegyzetszveg"/>
      </w:pPr>
      <w:r>
        <w:rPr>
          <w:rStyle w:val="Lbjegyzet-hivatkozs"/>
        </w:rPr>
        <w:footnoteRef/>
      </w:r>
      <w:r w:rsidR="00D74D7C">
        <w:t xml:space="preserve"> A</w:t>
      </w:r>
      <w:r>
        <w:t>z eredeti effektív kamatlábbal, kivéve a kezdeti megjelenítéskor értékvesztett pénzügyi eszközöknél, ahol egy újraszámolt effektív kamatlábbal</w:t>
      </w:r>
      <w:r w:rsidR="00D74D7C">
        <w:t>.</w:t>
      </w:r>
    </w:p>
  </w:footnote>
  <w:footnote w:id="13">
    <w:p w:rsidR="00524E9A" w:rsidRDefault="00524E9A" w:rsidP="00FF0C9A">
      <w:pPr>
        <w:pStyle w:val="Lbjegyzetszveg"/>
      </w:pPr>
      <w:r>
        <w:rPr>
          <w:rStyle w:val="Lbjegyzet-hivatkozs"/>
        </w:rPr>
        <w:footnoteRef/>
      </w:r>
      <w:r>
        <w:t xml:space="preserve"> </w:t>
      </w:r>
      <w:proofErr w:type="gramStart"/>
      <w:r>
        <w:t>részletesebben</w:t>
      </w:r>
      <w:proofErr w:type="gramEnd"/>
      <w:r>
        <w:t xml:space="preserve"> kifejtve, hogy mi számít értékvesztett eszköznek a „bekerüléskor már értékvesztett pénzügyi eszközök” alfejezetnél</w:t>
      </w:r>
    </w:p>
  </w:footnote>
  <w:footnote w:id="14">
    <w:p w:rsidR="00524E9A" w:rsidRDefault="00524E9A" w:rsidP="00FF0C9A">
      <w:pPr>
        <w:pStyle w:val="Lbjegyzetszveg"/>
      </w:pPr>
      <w:r>
        <w:rPr>
          <w:rStyle w:val="Lbjegyzet-hivatkozs"/>
        </w:rPr>
        <w:footnoteRef/>
      </w:r>
      <w:r>
        <w:t xml:space="preserve"> Például feltehetőleg csak adminisztrációs hiba következtében nem történt még meg a kifizetés.</w:t>
      </w:r>
    </w:p>
  </w:footnote>
  <w:footnote w:id="15">
    <w:p w:rsidR="00524E9A" w:rsidRDefault="00524E9A" w:rsidP="00FF0C9A">
      <w:pPr>
        <w:pStyle w:val="Lbjegyzetszveg"/>
      </w:pPr>
      <w:r>
        <w:rPr>
          <w:rStyle w:val="Lbjegyzet-hivatkozs"/>
        </w:rPr>
        <w:footnoteRef/>
      </w:r>
      <w:r>
        <w:t xml:space="preserve"> A nem ebben az alfejezetben szereplő részek gyakorlatilag az amortizált bekerülési értéken értékelt pénzügyi eszközökre vonatkoznak az értékvesztés kapcsán.</w:t>
      </w:r>
    </w:p>
  </w:footnote>
  <w:footnote w:id="16">
    <w:p w:rsidR="00524E9A" w:rsidRDefault="00524E9A" w:rsidP="00FF0C9A">
      <w:pPr>
        <w:pStyle w:val="Lbjegyzetszveg"/>
      </w:pPr>
      <w:r>
        <w:rPr>
          <w:rStyle w:val="Lbjegyzet-hivatkozs"/>
        </w:rPr>
        <w:footnoteRef/>
      </w:r>
      <w:r w:rsidR="00D156B6">
        <w:t xml:space="preserve"> A</w:t>
      </w:r>
      <w:r>
        <w:t xml:space="preserve"> szerződéses cash flow-k és a vélekedése szerint a jövőben ténylegesen kifizetésre kerülő cash flow-k</w:t>
      </w:r>
      <w:r w:rsidR="00D156B6">
        <w:t>.</w:t>
      </w:r>
      <w:r>
        <w:t xml:space="preserve"> </w:t>
      </w:r>
    </w:p>
  </w:footnote>
  <w:footnote w:id="17">
    <w:p w:rsidR="00524E9A" w:rsidRDefault="00524E9A" w:rsidP="00FF0C9A">
      <w:pPr>
        <w:pStyle w:val="Lbjegyzetszveg"/>
      </w:pPr>
      <w:r>
        <w:rPr>
          <w:rStyle w:val="Lbjegyzet-hivatkozs"/>
        </w:rPr>
        <w:footnoteRef/>
      </w:r>
      <w:r>
        <w:t xml:space="preserve"> </w:t>
      </w:r>
      <w:r w:rsidR="00D156B6">
        <w:t xml:space="preserve">A </w:t>
      </w:r>
      <w:r>
        <w:t>pénzügyi kötelezettségek átsorolása nem megengedett</w:t>
      </w:r>
      <w:r w:rsidR="00D156B6">
        <w:t>.</w:t>
      </w:r>
    </w:p>
  </w:footnote>
  <w:footnote w:id="18">
    <w:p w:rsidR="00524E9A" w:rsidRDefault="00524E9A" w:rsidP="00FF0C9A">
      <w:pPr>
        <w:pStyle w:val="Lbjegyzetszveg"/>
      </w:pPr>
      <w:r>
        <w:rPr>
          <w:rStyle w:val="Lbjegyzet-hivatkozs"/>
        </w:rPr>
        <w:footnoteRef/>
      </w:r>
      <w:r w:rsidR="00D156B6">
        <w:t xml:space="preserve"> A</w:t>
      </w:r>
      <w:r>
        <w:t xml:space="preserve"> módosult szerződéses cash flow-k – a kiegészített, bekerüléskor kiszámított effektív kamatlábbal diszkontált – jelenértéke</w:t>
      </w:r>
      <w:r w:rsidR="00D156B6">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9C3"/>
    <w:multiLevelType w:val="hybridMultilevel"/>
    <w:tmpl w:val="9AE852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180B3D"/>
    <w:multiLevelType w:val="hybridMultilevel"/>
    <w:tmpl w:val="6C569F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4A132BD"/>
    <w:multiLevelType w:val="hybridMultilevel"/>
    <w:tmpl w:val="87F09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221F0B"/>
    <w:multiLevelType w:val="hybridMultilevel"/>
    <w:tmpl w:val="2D6AA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834523B"/>
    <w:multiLevelType w:val="hybridMultilevel"/>
    <w:tmpl w:val="42E4910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08FD076E"/>
    <w:multiLevelType w:val="hybridMultilevel"/>
    <w:tmpl w:val="7690D8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9984D93"/>
    <w:multiLevelType w:val="hybridMultilevel"/>
    <w:tmpl w:val="F212491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A0343D5"/>
    <w:multiLevelType w:val="hybridMultilevel"/>
    <w:tmpl w:val="1318F0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A963DD5"/>
    <w:multiLevelType w:val="hybridMultilevel"/>
    <w:tmpl w:val="ACD29D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C2D49A3"/>
    <w:multiLevelType w:val="hybridMultilevel"/>
    <w:tmpl w:val="75F48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CC75AA7"/>
    <w:multiLevelType w:val="hybridMultilevel"/>
    <w:tmpl w:val="1D7A5A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E8837B8"/>
    <w:multiLevelType w:val="hybridMultilevel"/>
    <w:tmpl w:val="9EA6DB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128689D"/>
    <w:multiLevelType w:val="hybridMultilevel"/>
    <w:tmpl w:val="4A8C48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14C5644"/>
    <w:multiLevelType w:val="hybridMultilevel"/>
    <w:tmpl w:val="6CBC0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34337A8"/>
    <w:multiLevelType w:val="hybridMultilevel"/>
    <w:tmpl w:val="AEC8D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5A47B4D"/>
    <w:multiLevelType w:val="hybridMultilevel"/>
    <w:tmpl w:val="09463F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61319A1"/>
    <w:multiLevelType w:val="hybridMultilevel"/>
    <w:tmpl w:val="5478F86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7D33CA7"/>
    <w:multiLevelType w:val="hybridMultilevel"/>
    <w:tmpl w:val="22EAB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88A2A93"/>
    <w:multiLevelType w:val="hybridMultilevel"/>
    <w:tmpl w:val="0ACC9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C470847"/>
    <w:multiLevelType w:val="hybridMultilevel"/>
    <w:tmpl w:val="5DD40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D951FE4"/>
    <w:multiLevelType w:val="hybridMultilevel"/>
    <w:tmpl w:val="3E12B3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195130E"/>
    <w:multiLevelType w:val="hybridMultilevel"/>
    <w:tmpl w:val="F75C46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36F17C6"/>
    <w:multiLevelType w:val="hybridMultilevel"/>
    <w:tmpl w:val="34AAE826"/>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23A65825"/>
    <w:multiLevelType w:val="hybridMultilevel"/>
    <w:tmpl w:val="AF70DF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267937AF"/>
    <w:multiLevelType w:val="hybridMultilevel"/>
    <w:tmpl w:val="FC84E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7E70AB0"/>
    <w:multiLevelType w:val="multilevel"/>
    <w:tmpl w:val="F2B81076"/>
    <w:lvl w:ilvl="0">
      <w:start w:val="1"/>
      <w:numFmt w:val="decimal"/>
      <w:pStyle w:val="TJ3"/>
      <w:lvlText w:val="%1."/>
      <w:lvlJc w:val="left"/>
      <w:pPr>
        <w:ind w:left="227" w:hanging="227"/>
      </w:pPr>
      <w:rPr>
        <w:rFonts w:ascii="Times New Roman" w:hAnsi="Times New Roman" w:cs="Times New Roman" w:hint="default"/>
        <w:b/>
        <w:sz w:val="24"/>
        <w:szCs w:val="24"/>
      </w:rPr>
    </w:lvl>
    <w:lvl w:ilvl="1">
      <w:start w:val="1"/>
      <w:numFmt w:val="decimal"/>
      <w:pStyle w:val="TJ2"/>
      <w:lvlText w:val="%1.%2."/>
      <w:lvlJc w:val="left"/>
      <w:pPr>
        <w:ind w:left="737" w:hanging="377"/>
      </w:pPr>
      <w:rPr>
        <w:rFonts w:hint="default"/>
      </w:rPr>
    </w:lvl>
    <w:lvl w:ilvl="2">
      <w:start w:val="1"/>
      <w:numFmt w:val="decimal"/>
      <w:pStyle w:val="TJ3"/>
      <w:lvlText w:val="%1.%2.%3."/>
      <w:lvlJc w:val="left"/>
      <w:pPr>
        <w:ind w:left="1304" w:hanging="58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96B3B2B"/>
    <w:multiLevelType w:val="hybridMultilevel"/>
    <w:tmpl w:val="8DC40B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A95410D"/>
    <w:multiLevelType w:val="hybridMultilevel"/>
    <w:tmpl w:val="A12456F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8">
    <w:nsid w:val="2DD03195"/>
    <w:multiLevelType w:val="hybridMultilevel"/>
    <w:tmpl w:val="9996B1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0CD5DFC"/>
    <w:multiLevelType w:val="hybridMultilevel"/>
    <w:tmpl w:val="BE241B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3C954A6"/>
    <w:multiLevelType w:val="hybridMultilevel"/>
    <w:tmpl w:val="5A98DDE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1">
    <w:nsid w:val="387E7D38"/>
    <w:multiLevelType w:val="hybridMultilevel"/>
    <w:tmpl w:val="52AAA3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9D30EFC"/>
    <w:multiLevelType w:val="hybridMultilevel"/>
    <w:tmpl w:val="2D0A58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EB61217"/>
    <w:multiLevelType w:val="hybridMultilevel"/>
    <w:tmpl w:val="7DD26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3F316B91"/>
    <w:multiLevelType w:val="hybridMultilevel"/>
    <w:tmpl w:val="AB44F4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054074A"/>
    <w:multiLevelType w:val="multilevel"/>
    <w:tmpl w:val="04CA37D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426A0D21"/>
    <w:multiLevelType w:val="hybridMultilevel"/>
    <w:tmpl w:val="DBD8916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55A3E72"/>
    <w:multiLevelType w:val="hybridMultilevel"/>
    <w:tmpl w:val="ED50C3D2"/>
    <w:lvl w:ilvl="0" w:tplc="E25800C8">
      <w:start w:val="1"/>
      <w:numFmt w:val="bullet"/>
      <w:lvlText w:val=""/>
      <w:lvlJc w:val="left"/>
      <w:pPr>
        <w:ind w:left="720" w:hanging="360"/>
      </w:pPr>
      <w:rPr>
        <w:rFonts w:ascii="Symbol" w:hAnsi="Symbol" w:hint="default"/>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B7600A"/>
    <w:multiLevelType w:val="hybridMultilevel"/>
    <w:tmpl w:val="540EF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8DA0749"/>
    <w:multiLevelType w:val="hybridMultilevel"/>
    <w:tmpl w:val="578028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98D5AC8"/>
    <w:multiLevelType w:val="hybridMultilevel"/>
    <w:tmpl w:val="C5C22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4A28287C"/>
    <w:multiLevelType w:val="hybridMultilevel"/>
    <w:tmpl w:val="CF601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AED3DC1"/>
    <w:multiLevelType w:val="hybridMultilevel"/>
    <w:tmpl w:val="DAFC88D0"/>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nsid w:val="4EAE336F"/>
    <w:multiLevelType w:val="hybridMultilevel"/>
    <w:tmpl w:val="E348F09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4">
    <w:nsid w:val="50980BD6"/>
    <w:multiLevelType w:val="hybridMultilevel"/>
    <w:tmpl w:val="A28687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64A2EB5"/>
    <w:multiLevelType w:val="hybridMultilevel"/>
    <w:tmpl w:val="1012E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57A21C0B"/>
    <w:multiLevelType w:val="hybridMultilevel"/>
    <w:tmpl w:val="CCDE183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nsid w:val="5A070BBB"/>
    <w:multiLevelType w:val="hybridMultilevel"/>
    <w:tmpl w:val="76E6B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A275D84"/>
    <w:multiLevelType w:val="hybridMultilevel"/>
    <w:tmpl w:val="F75C46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ABE6BC0"/>
    <w:multiLevelType w:val="hybridMultilevel"/>
    <w:tmpl w:val="DEA2A9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BB6296B"/>
    <w:multiLevelType w:val="multilevel"/>
    <w:tmpl w:val="040E0025"/>
    <w:lvl w:ilvl="0">
      <w:start w:val="1"/>
      <w:numFmt w:val="decimal"/>
      <w:pStyle w:val="Cmsor1"/>
      <w:lvlText w:val="%1"/>
      <w:lvlJc w:val="left"/>
      <w:pPr>
        <w:ind w:left="432" w:hanging="432"/>
      </w:pPr>
      <w:rPr>
        <w:rFonts w:cs="Times New Roman"/>
      </w:rPr>
    </w:lvl>
    <w:lvl w:ilvl="1">
      <w:start w:val="1"/>
      <w:numFmt w:val="decimal"/>
      <w:pStyle w:val="Cmsor2"/>
      <w:lvlText w:val="%1.%2"/>
      <w:lvlJc w:val="left"/>
      <w:pPr>
        <w:ind w:left="576" w:hanging="576"/>
      </w:pPr>
      <w:rPr>
        <w:rFonts w:cs="Times New Roman"/>
      </w:rPr>
    </w:lvl>
    <w:lvl w:ilvl="2">
      <w:start w:val="1"/>
      <w:numFmt w:val="decimal"/>
      <w:pStyle w:val="Cmsor3"/>
      <w:lvlText w:val="%1.%2.%3"/>
      <w:lvlJc w:val="left"/>
      <w:pPr>
        <w:ind w:left="720" w:hanging="720"/>
      </w:pPr>
      <w:rPr>
        <w:rFonts w:cs="Times New Roman"/>
      </w:rPr>
    </w:lvl>
    <w:lvl w:ilvl="3">
      <w:start w:val="1"/>
      <w:numFmt w:val="decimal"/>
      <w:pStyle w:val="Cmsor4"/>
      <w:lvlText w:val="%1.%2.%3.%4"/>
      <w:lvlJc w:val="left"/>
      <w:pPr>
        <w:ind w:left="864" w:hanging="864"/>
      </w:pPr>
      <w:rPr>
        <w:rFonts w:cs="Times New Roman"/>
      </w:rPr>
    </w:lvl>
    <w:lvl w:ilvl="4">
      <w:start w:val="1"/>
      <w:numFmt w:val="decimal"/>
      <w:pStyle w:val="Cmsor5"/>
      <w:lvlText w:val="%1.%2.%3.%4.%5"/>
      <w:lvlJc w:val="left"/>
      <w:pPr>
        <w:ind w:left="1008" w:hanging="1008"/>
      </w:pPr>
      <w:rPr>
        <w:rFonts w:cs="Times New Roman"/>
      </w:rPr>
    </w:lvl>
    <w:lvl w:ilvl="5">
      <w:start w:val="1"/>
      <w:numFmt w:val="decimal"/>
      <w:pStyle w:val="Cmsor6"/>
      <w:lvlText w:val="%1.%2.%3.%4.%5.%6"/>
      <w:lvlJc w:val="left"/>
      <w:pPr>
        <w:ind w:left="1152" w:hanging="1152"/>
      </w:pPr>
      <w:rPr>
        <w:rFonts w:cs="Times New Roman"/>
      </w:rPr>
    </w:lvl>
    <w:lvl w:ilvl="6">
      <w:start w:val="1"/>
      <w:numFmt w:val="decimal"/>
      <w:pStyle w:val="Cmsor7"/>
      <w:lvlText w:val="%1.%2.%3.%4.%5.%6.%7"/>
      <w:lvlJc w:val="left"/>
      <w:pPr>
        <w:ind w:left="1296" w:hanging="1296"/>
      </w:pPr>
      <w:rPr>
        <w:rFonts w:cs="Times New Roman"/>
      </w:rPr>
    </w:lvl>
    <w:lvl w:ilvl="7">
      <w:start w:val="1"/>
      <w:numFmt w:val="decimal"/>
      <w:pStyle w:val="Cmsor8"/>
      <w:lvlText w:val="%1.%2.%3.%4.%5.%6.%7.%8"/>
      <w:lvlJc w:val="left"/>
      <w:pPr>
        <w:ind w:left="1440" w:hanging="1440"/>
      </w:pPr>
      <w:rPr>
        <w:rFonts w:cs="Times New Roman"/>
      </w:rPr>
    </w:lvl>
    <w:lvl w:ilvl="8">
      <w:start w:val="1"/>
      <w:numFmt w:val="decimal"/>
      <w:pStyle w:val="Cmsor9"/>
      <w:lvlText w:val="%1.%2.%3.%4.%5.%6.%7.%8.%9"/>
      <w:lvlJc w:val="left"/>
      <w:pPr>
        <w:ind w:left="1584" w:hanging="1584"/>
      </w:pPr>
      <w:rPr>
        <w:rFonts w:cs="Times New Roman"/>
      </w:rPr>
    </w:lvl>
  </w:abstractNum>
  <w:abstractNum w:abstractNumId="51">
    <w:nsid w:val="5C131FB5"/>
    <w:multiLevelType w:val="hybridMultilevel"/>
    <w:tmpl w:val="10F290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5C8B7920"/>
    <w:multiLevelType w:val="hybridMultilevel"/>
    <w:tmpl w:val="09382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5F47770B"/>
    <w:multiLevelType w:val="hybridMultilevel"/>
    <w:tmpl w:val="4FBA06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1055A12"/>
    <w:multiLevelType w:val="hybridMultilevel"/>
    <w:tmpl w:val="4B0ED0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39435A5"/>
    <w:multiLevelType w:val="hybridMultilevel"/>
    <w:tmpl w:val="6F0EE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3B83C22"/>
    <w:multiLevelType w:val="hybridMultilevel"/>
    <w:tmpl w:val="671E3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5B3175D"/>
    <w:multiLevelType w:val="hybridMultilevel"/>
    <w:tmpl w:val="E9560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6130B2D"/>
    <w:multiLevelType w:val="hybridMultilevel"/>
    <w:tmpl w:val="F29622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77513319"/>
    <w:multiLevelType w:val="hybridMultilevel"/>
    <w:tmpl w:val="10249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81101FF"/>
    <w:multiLevelType w:val="hybridMultilevel"/>
    <w:tmpl w:val="9BBAC6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7B2A425F"/>
    <w:multiLevelType w:val="hybridMultilevel"/>
    <w:tmpl w:val="EFB8E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7DD52AAB"/>
    <w:multiLevelType w:val="hybridMultilevel"/>
    <w:tmpl w:val="23FCD3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0"/>
  </w:num>
  <w:num w:numId="2">
    <w:abstractNumId w:val="0"/>
  </w:num>
  <w:num w:numId="3">
    <w:abstractNumId w:val="44"/>
  </w:num>
  <w:num w:numId="4">
    <w:abstractNumId w:val="15"/>
  </w:num>
  <w:num w:numId="5">
    <w:abstractNumId w:val="30"/>
  </w:num>
  <w:num w:numId="6">
    <w:abstractNumId w:val="26"/>
  </w:num>
  <w:num w:numId="7">
    <w:abstractNumId w:val="37"/>
  </w:num>
  <w:num w:numId="8">
    <w:abstractNumId w:val="32"/>
  </w:num>
  <w:num w:numId="9">
    <w:abstractNumId w:val="38"/>
  </w:num>
  <w:num w:numId="10">
    <w:abstractNumId w:val="47"/>
  </w:num>
  <w:num w:numId="11">
    <w:abstractNumId w:val="58"/>
  </w:num>
  <w:num w:numId="12">
    <w:abstractNumId w:val="53"/>
  </w:num>
  <w:num w:numId="13">
    <w:abstractNumId w:val="10"/>
  </w:num>
  <w:num w:numId="14">
    <w:abstractNumId w:val="35"/>
  </w:num>
  <w:num w:numId="15">
    <w:abstractNumId w:val="22"/>
  </w:num>
  <w:num w:numId="16">
    <w:abstractNumId w:val="42"/>
  </w:num>
  <w:num w:numId="17">
    <w:abstractNumId w:val="1"/>
  </w:num>
  <w:num w:numId="18">
    <w:abstractNumId w:val="21"/>
  </w:num>
  <w:num w:numId="19">
    <w:abstractNumId w:val="48"/>
  </w:num>
  <w:num w:numId="20">
    <w:abstractNumId w:val="46"/>
  </w:num>
  <w:num w:numId="21">
    <w:abstractNumId w:val="60"/>
  </w:num>
  <w:num w:numId="22">
    <w:abstractNumId w:val="7"/>
  </w:num>
  <w:num w:numId="23">
    <w:abstractNumId w:val="56"/>
  </w:num>
  <w:num w:numId="24">
    <w:abstractNumId w:val="33"/>
  </w:num>
  <w:num w:numId="25">
    <w:abstractNumId w:val="40"/>
  </w:num>
  <w:num w:numId="26">
    <w:abstractNumId w:val="29"/>
  </w:num>
  <w:num w:numId="27">
    <w:abstractNumId w:val="31"/>
  </w:num>
  <w:num w:numId="28">
    <w:abstractNumId w:val="11"/>
  </w:num>
  <w:num w:numId="29">
    <w:abstractNumId w:val="59"/>
  </w:num>
  <w:num w:numId="30">
    <w:abstractNumId w:val="55"/>
  </w:num>
  <w:num w:numId="31">
    <w:abstractNumId w:val="16"/>
  </w:num>
  <w:num w:numId="32">
    <w:abstractNumId w:val="41"/>
  </w:num>
  <w:num w:numId="33">
    <w:abstractNumId w:val="51"/>
  </w:num>
  <w:num w:numId="34">
    <w:abstractNumId w:val="52"/>
  </w:num>
  <w:num w:numId="35">
    <w:abstractNumId w:val="43"/>
  </w:num>
  <w:num w:numId="36">
    <w:abstractNumId w:val="5"/>
  </w:num>
  <w:num w:numId="37">
    <w:abstractNumId w:val="62"/>
  </w:num>
  <w:num w:numId="38">
    <w:abstractNumId w:val="54"/>
  </w:num>
  <w:num w:numId="39">
    <w:abstractNumId w:val="34"/>
  </w:num>
  <w:num w:numId="40">
    <w:abstractNumId w:val="14"/>
  </w:num>
  <w:num w:numId="41">
    <w:abstractNumId w:val="6"/>
  </w:num>
  <w:num w:numId="42">
    <w:abstractNumId w:val="57"/>
  </w:num>
  <w:num w:numId="43">
    <w:abstractNumId w:val="18"/>
  </w:num>
  <w:num w:numId="44">
    <w:abstractNumId w:val="27"/>
  </w:num>
  <w:num w:numId="45">
    <w:abstractNumId w:val="39"/>
  </w:num>
  <w:num w:numId="46">
    <w:abstractNumId w:val="45"/>
  </w:num>
  <w:num w:numId="47">
    <w:abstractNumId w:val="28"/>
  </w:num>
  <w:num w:numId="48">
    <w:abstractNumId w:val="2"/>
  </w:num>
  <w:num w:numId="49">
    <w:abstractNumId w:val="3"/>
  </w:num>
  <w:num w:numId="50">
    <w:abstractNumId w:val="17"/>
  </w:num>
  <w:num w:numId="51">
    <w:abstractNumId w:val="49"/>
  </w:num>
  <w:num w:numId="52">
    <w:abstractNumId w:val="12"/>
  </w:num>
  <w:num w:numId="53">
    <w:abstractNumId w:val="4"/>
  </w:num>
  <w:num w:numId="54">
    <w:abstractNumId w:val="23"/>
  </w:num>
  <w:num w:numId="55">
    <w:abstractNumId w:val="19"/>
  </w:num>
  <w:num w:numId="56">
    <w:abstractNumId w:val="8"/>
  </w:num>
  <w:num w:numId="57">
    <w:abstractNumId w:val="24"/>
  </w:num>
  <w:num w:numId="58">
    <w:abstractNumId w:val="61"/>
  </w:num>
  <w:num w:numId="59">
    <w:abstractNumId w:val="9"/>
  </w:num>
  <w:num w:numId="60">
    <w:abstractNumId w:val="13"/>
  </w:num>
  <w:num w:numId="61">
    <w:abstractNumId w:val="25"/>
  </w:num>
  <w:num w:numId="62">
    <w:abstractNumId w:val="20"/>
  </w:num>
  <w:num w:numId="63">
    <w:abstractNumId w:val="3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FF0C9A"/>
    <w:rsid w:val="00000528"/>
    <w:rsid w:val="000018D7"/>
    <w:rsid w:val="00002267"/>
    <w:rsid w:val="00013181"/>
    <w:rsid w:val="00013B45"/>
    <w:rsid w:val="000179C5"/>
    <w:rsid w:val="00020B9A"/>
    <w:rsid w:val="0002112D"/>
    <w:rsid w:val="000213AE"/>
    <w:rsid w:val="000216B0"/>
    <w:rsid w:val="000223EE"/>
    <w:rsid w:val="00023E98"/>
    <w:rsid w:val="00024BC8"/>
    <w:rsid w:val="00025DD7"/>
    <w:rsid w:val="00026FF8"/>
    <w:rsid w:val="000333F0"/>
    <w:rsid w:val="00033CB1"/>
    <w:rsid w:val="00035C85"/>
    <w:rsid w:val="00036A14"/>
    <w:rsid w:val="00036DF5"/>
    <w:rsid w:val="00037913"/>
    <w:rsid w:val="00037B4B"/>
    <w:rsid w:val="000400E2"/>
    <w:rsid w:val="00040D9F"/>
    <w:rsid w:val="00040E3E"/>
    <w:rsid w:val="00042DE6"/>
    <w:rsid w:val="00043174"/>
    <w:rsid w:val="00044F1E"/>
    <w:rsid w:val="000464EA"/>
    <w:rsid w:val="00046FF6"/>
    <w:rsid w:val="00047F9F"/>
    <w:rsid w:val="0005021E"/>
    <w:rsid w:val="000513DA"/>
    <w:rsid w:val="00056ABF"/>
    <w:rsid w:val="00060956"/>
    <w:rsid w:val="00061781"/>
    <w:rsid w:val="00064C5E"/>
    <w:rsid w:val="00066AD2"/>
    <w:rsid w:val="000712A7"/>
    <w:rsid w:val="0007177A"/>
    <w:rsid w:val="00072927"/>
    <w:rsid w:val="0007307E"/>
    <w:rsid w:val="00073EE8"/>
    <w:rsid w:val="00074A59"/>
    <w:rsid w:val="00074B0E"/>
    <w:rsid w:val="00076D11"/>
    <w:rsid w:val="00077F6A"/>
    <w:rsid w:val="00080007"/>
    <w:rsid w:val="00086A98"/>
    <w:rsid w:val="00091717"/>
    <w:rsid w:val="00092CDD"/>
    <w:rsid w:val="00093978"/>
    <w:rsid w:val="000A39BC"/>
    <w:rsid w:val="000A5DAB"/>
    <w:rsid w:val="000A6E8C"/>
    <w:rsid w:val="000A72BE"/>
    <w:rsid w:val="000A7DC3"/>
    <w:rsid w:val="000B01D0"/>
    <w:rsid w:val="000B4442"/>
    <w:rsid w:val="000C0764"/>
    <w:rsid w:val="000C17E1"/>
    <w:rsid w:val="000C4D92"/>
    <w:rsid w:val="000C5441"/>
    <w:rsid w:val="000C6747"/>
    <w:rsid w:val="000D048A"/>
    <w:rsid w:val="000D1078"/>
    <w:rsid w:val="000D2167"/>
    <w:rsid w:val="000D2742"/>
    <w:rsid w:val="000D48FD"/>
    <w:rsid w:val="000D5542"/>
    <w:rsid w:val="000D5E89"/>
    <w:rsid w:val="000D63B8"/>
    <w:rsid w:val="000D6A27"/>
    <w:rsid w:val="000E22B0"/>
    <w:rsid w:val="000E2D08"/>
    <w:rsid w:val="000E502A"/>
    <w:rsid w:val="000E6755"/>
    <w:rsid w:val="000E7DAF"/>
    <w:rsid w:val="000F2B94"/>
    <w:rsid w:val="000F3B52"/>
    <w:rsid w:val="000F604B"/>
    <w:rsid w:val="00101532"/>
    <w:rsid w:val="001019C9"/>
    <w:rsid w:val="001019F8"/>
    <w:rsid w:val="00103E10"/>
    <w:rsid w:val="0010507A"/>
    <w:rsid w:val="001060D5"/>
    <w:rsid w:val="00106ECC"/>
    <w:rsid w:val="001076FB"/>
    <w:rsid w:val="001100F6"/>
    <w:rsid w:val="001121AA"/>
    <w:rsid w:val="00112AEE"/>
    <w:rsid w:val="00116653"/>
    <w:rsid w:val="001214D8"/>
    <w:rsid w:val="00123015"/>
    <w:rsid w:val="001240B8"/>
    <w:rsid w:val="001244E4"/>
    <w:rsid w:val="00124CFC"/>
    <w:rsid w:val="00125A2F"/>
    <w:rsid w:val="00126740"/>
    <w:rsid w:val="001277FC"/>
    <w:rsid w:val="00127EAB"/>
    <w:rsid w:val="00130C14"/>
    <w:rsid w:val="00130C56"/>
    <w:rsid w:val="00131F75"/>
    <w:rsid w:val="001356D8"/>
    <w:rsid w:val="00135939"/>
    <w:rsid w:val="001367A6"/>
    <w:rsid w:val="0014059B"/>
    <w:rsid w:val="0014186E"/>
    <w:rsid w:val="0014289C"/>
    <w:rsid w:val="00142BA6"/>
    <w:rsid w:val="001439BE"/>
    <w:rsid w:val="00145149"/>
    <w:rsid w:val="00146A02"/>
    <w:rsid w:val="00147706"/>
    <w:rsid w:val="00147DA5"/>
    <w:rsid w:val="001500EE"/>
    <w:rsid w:val="0015092E"/>
    <w:rsid w:val="001512DC"/>
    <w:rsid w:val="00151CA2"/>
    <w:rsid w:val="00152A8A"/>
    <w:rsid w:val="0015349C"/>
    <w:rsid w:val="00153C40"/>
    <w:rsid w:val="00160A3A"/>
    <w:rsid w:val="00162AB5"/>
    <w:rsid w:val="001637FC"/>
    <w:rsid w:val="001639FD"/>
    <w:rsid w:val="001644D6"/>
    <w:rsid w:val="00164637"/>
    <w:rsid w:val="00165676"/>
    <w:rsid w:val="00174EBB"/>
    <w:rsid w:val="00175F34"/>
    <w:rsid w:val="00177FD0"/>
    <w:rsid w:val="00181427"/>
    <w:rsid w:val="00181481"/>
    <w:rsid w:val="00182B82"/>
    <w:rsid w:val="00184138"/>
    <w:rsid w:val="00186CA9"/>
    <w:rsid w:val="001875B2"/>
    <w:rsid w:val="00187C46"/>
    <w:rsid w:val="0019040E"/>
    <w:rsid w:val="00191C6E"/>
    <w:rsid w:val="00192540"/>
    <w:rsid w:val="00192B5E"/>
    <w:rsid w:val="001943D4"/>
    <w:rsid w:val="00195FEA"/>
    <w:rsid w:val="0019648B"/>
    <w:rsid w:val="00196CFE"/>
    <w:rsid w:val="00197DF2"/>
    <w:rsid w:val="001A1491"/>
    <w:rsid w:val="001A1D7E"/>
    <w:rsid w:val="001A2040"/>
    <w:rsid w:val="001A22FA"/>
    <w:rsid w:val="001A3C06"/>
    <w:rsid w:val="001A3EAB"/>
    <w:rsid w:val="001A410F"/>
    <w:rsid w:val="001A6194"/>
    <w:rsid w:val="001A6F83"/>
    <w:rsid w:val="001A735C"/>
    <w:rsid w:val="001B1398"/>
    <w:rsid w:val="001B18CA"/>
    <w:rsid w:val="001B25F9"/>
    <w:rsid w:val="001B332D"/>
    <w:rsid w:val="001B58D9"/>
    <w:rsid w:val="001B6116"/>
    <w:rsid w:val="001C2D5C"/>
    <w:rsid w:val="001C491B"/>
    <w:rsid w:val="001C4A6B"/>
    <w:rsid w:val="001C6F70"/>
    <w:rsid w:val="001D0D0F"/>
    <w:rsid w:val="001D1793"/>
    <w:rsid w:val="001D2F66"/>
    <w:rsid w:val="001D4EB5"/>
    <w:rsid w:val="001D51E0"/>
    <w:rsid w:val="001D5D11"/>
    <w:rsid w:val="001F4E88"/>
    <w:rsid w:val="001F7AD3"/>
    <w:rsid w:val="00200A0D"/>
    <w:rsid w:val="00203DD3"/>
    <w:rsid w:val="00205273"/>
    <w:rsid w:val="00205B2E"/>
    <w:rsid w:val="00207DC4"/>
    <w:rsid w:val="00212191"/>
    <w:rsid w:val="002127CA"/>
    <w:rsid w:val="00215556"/>
    <w:rsid w:val="0021617E"/>
    <w:rsid w:val="002175C3"/>
    <w:rsid w:val="00217B54"/>
    <w:rsid w:val="00217D86"/>
    <w:rsid w:val="00220B8F"/>
    <w:rsid w:val="0022192C"/>
    <w:rsid w:val="00223845"/>
    <w:rsid w:val="00223D62"/>
    <w:rsid w:val="00223E14"/>
    <w:rsid w:val="00223F9D"/>
    <w:rsid w:val="00224FB8"/>
    <w:rsid w:val="00225706"/>
    <w:rsid w:val="00227891"/>
    <w:rsid w:val="00227C49"/>
    <w:rsid w:val="002314A3"/>
    <w:rsid w:val="0023168C"/>
    <w:rsid w:val="00232567"/>
    <w:rsid w:val="002325E6"/>
    <w:rsid w:val="00233411"/>
    <w:rsid w:val="00234E43"/>
    <w:rsid w:val="00236BDA"/>
    <w:rsid w:val="00240260"/>
    <w:rsid w:val="00241660"/>
    <w:rsid w:val="00241E68"/>
    <w:rsid w:val="002426EC"/>
    <w:rsid w:val="0024564A"/>
    <w:rsid w:val="00246B54"/>
    <w:rsid w:val="00246CC8"/>
    <w:rsid w:val="00252696"/>
    <w:rsid w:val="00252E83"/>
    <w:rsid w:val="00253DAA"/>
    <w:rsid w:val="0025694D"/>
    <w:rsid w:val="0026080F"/>
    <w:rsid w:val="002613F3"/>
    <w:rsid w:val="00261A9E"/>
    <w:rsid w:val="00261CC6"/>
    <w:rsid w:val="00262216"/>
    <w:rsid w:val="0026290D"/>
    <w:rsid w:val="00262B13"/>
    <w:rsid w:val="002652A2"/>
    <w:rsid w:val="00265672"/>
    <w:rsid w:val="00266C5F"/>
    <w:rsid w:val="0026767F"/>
    <w:rsid w:val="00267AD7"/>
    <w:rsid w:val="00272D87"/>
    <w:rsid w:val="0027477D"/>
    <w:rsid w:val="0027555D"/>
    <w:rsid w:val="002756D6"/>
    <w:rsid w:val="00275FEC"/>
    <w:rsid w:val="0027657E"/>
    <w:rsid w:val="002813A6"/>
    <w:rsid w:val="002852C3"/>
    <w:rsid w:val="0028582F"/>
    <w:rsid w:val="00286224"/>
    <w:rsid w:val="00286A56"/>
    <w:rsid w:val="00287437"/>
    <w:rsid w:val="00287486"/>
    <w:rsid w:val="00291BD9"/>
    <w:rsid w:val="00293ACF"/>
    <w:rsid w:val="002950A9"/>
    <w:rsid w:val="002971FD"/>
    <w:rsid w:val="002A0435"/>
    <w:rsid w:val="002A4A31"/>
    <w:rsid w:val="002A5DFA"/>
    <w:rsid w:val="002A641A"/>
    <w:rsid w:val="002A76F3"/>
    <w:rsid w:val="002A78AA"/>
    <w:rsid w:val="002B357D"/>
    <w:rsid w:val="002B5B54"/>
    <w:rsid w:val="002B73E7"/>
    <w:rsid w:val="002B7868"/>
    <w:rsid w:val="002C1209"/>
    <w:rsid w:val="002C187B"/>
    <w:rsid w:val="002C1928"/>
    <w:rsid w:val="002C2ABE"/>
    <w:rsid w:val="002C4904"/>
    <w:rsid w:val="002C54F6"/>
    <w:rsid w:val="002C64AE"/>
    <w:rsid w:val="002D0283"/>
    <w:rsid w:val="002D05D8"/>
    <w:rsid w:val="002D0B3A"/>
    <w:rsid w:val="002D482C"/>
    <w:rsid w:val="002E11B0"/>
    <w:rsid w:val="002E3A9D"/>
    <w:rsid w:val="002E60BF"/>
    <w:rsid w:val="002E7E5D"/>
    <w:rsid w:val="002F0F4D"/>
    <w:rsid w:val="002F15B1"/>
    <w:rsid w:val="002F24EA"/>
    <w:rsid w:val="002F5143"/>
    <w:rsid w:val="002F5430"/>
    <w:rsid w:val="002F65EA"/>
    <w:rsid w:val="00300526"/>
    <w:rsid w:val="00302039"/>
    <w:rsid w:val="00302C8C"/>
    <w:rsid w:val="00302E9B"/>
    <w:rsid w:val="00303A4C"/>
    <w:rsid w:val="00303C68"/>
    <w:rsid w:val="00304226"/>
    <w:rsid w:val="00306793"/>
    <w:rsid w:val="003102CD"/>
    <w:rsid w:val="00310E7C"/>
    <w:rsid w:val="0031349E"/>
    <w:rsid w:val="0031414D"/>
    <w:rsid w:val="00314988"/>
    <w:rsid w:val="00314A9E"/>
    <w:rsid w:val="0031530E"/>
    <w:rsid w:val="00316252"/>
    <w:rsid w:val="00320400"/>
    <w:rsid w:val="00322FB1"/>
    <w:rsid w:val="0032391E"/>
    <w:rsid w:val="0032403B"/>
    <w:rsid w:val="00324918"/>
    <w:rsid w:val="00325D1F"/>
    <w:rsid w:val="00330559"/>
    <w:rsid w:val="0033097D"/>
    <w:rsid w:val="00331694"/>
    <w:rsid w:val="00333245"/>
    <w:rsid w:val="0033392F"/>
    <w:rsid w:val="00333A1F"/>
    <w:rsid w:val="00333C09"/>
    <w:rsid w:val="00334254"/>
    <w:rsid w:val="003346C0"/>
    <w:rsid w:val="00334D2B"/>
    <w:rsid w:val="00335657"/>
    <w:rsid w:val="00336430"/>
    <w:rsid w:val="0033647D"/>
    <w:rsid w:val="00340064"/>
    <w:rsid w:val="003402E6"/>
    <w:rsid w:val="003413F8"/>
    <w:rsid w:val="00341719"/>
    <w:rsid w:val="003449F2"/>
    <w:rsid w:val="00345E20"/>
    <w:rsid w:val="003465A0"/>
    <w:rsid w:val="00346713"/>
    <w:rsid w:val="00346AEC"/>
    <w:rsid w:val="00347D61"/>
    <w:rsid w:val="00351F73"/>
    <w:rsid w:val="003554F9"/>
    <w:rsid w:val="003560DE"/>
    <w:rsid w:val="0035764A"/>
    <w:rsid w:val="0036190F"/>
    <w:rsid w:val="00361FFB"/>
    <w:rsid w:val="00365F92"/>
    <w:rsid w:val="003669E9"/>
    <w:rsid w:val="003711D9"/>
    <w:rsid w:val="00373CCD"/>
    <w:rsid w:val="0037401B"/>
    <w:rsid w:val="00374646"/>
    <w:rsid w:val="0037476D"/>
    <w:rsid w:val="003753D3"/>
    <w:rsid w:val="00376D67"/>
    <w:rsid w:val="00377491"/>
    <w:rsid w:val="003815E9"/>
    <w:rsid w:val="00381D3B"/>
    <w:rsid w:val="00381F91"/>
    <w:rsid w:val="00383051"/>
    <w:rsid w:val="00384D62"/>
    <w:rsid w:val="00386B6F"/>
    <w:rsid w:val="00390F46"/>
    <w:rsid w:val="00391F42"/>
    <w:rsid w:val="003939B7"/>
    <w:rsid w:val="003940B7"/>
    <w:rsid w:val="00394C65"/>
    <w:rsid w:val="00395783"/>
    <w:rsid w:val="00395CF1"/>
    <w:rsid w:val="00397B93"/>
    <w:rsid w:val="00397D86"/>
    <w:rsid w:val="003A0C3E"/>
    <w:rsid w:val="003A1B1C"/>
    <w:rsid w:val="003B2886"/>
    <w:rsid w:val="003B6139"/>
    <w:rsid w:val="003B65CD"/>
    <w:rsid w:val="003B662B"/>
    <w:rsid w:val="003B6AE9"/>
    <w:rsid w:val="003B7232"/>
    <w:rsid w:val="003B770C"/>
    <w:rsid w:val="003C0ABC"/>
    <w:rsid w:val="003C5C92"/>
    <w:rsid w:val="003C7D7A"/>
    <w:rsid w:val="003D1B5D"/>
    <w:rsid w:val="003D440F"/>
    <w:rsid w:val="003D6184"/>
    <w:rsid w:val="003E0856"/>
    <w:rsid w:val="003E0E66"/>
    <w:rsid w:val="003E30E0"/>
    <w:rsid w:val="003E4271"/>
    <w:rsid w:val="003F208A"/>
    <w:rsid w:val="003F49B8"/>
    <w:rsid w:val="003F4F4B"/>
    <w:rsid w:val="003F5181"/>
    <w:rsid w:val="003F6CF9"/>
    <w:rsid w:val="003F73E2"/>
    <w:rsid w:val="00400DFC"/>
    <w:rsid w:val="00400F42"/>
    <w:rsid w:val="00401660"/>
    <w:rsid w:val="00401F27"/>
    <w:rsid w:val="00407037"/>
    <w:rsid w:val="00407136"/>
    <w:rsid w:val="004145A4"/>
    <w:rsid w:val="00415459"/>
    <w:rsid w:val="004163A5"/>
    <w:rsid w:val="00416564"/>
    <w:rsid w:val="00416E12"/>
    <w:rsid w:val="0042000D"/>
    <w:rsid w:val="00422B3E"/>
    <w:rsid w:val="00424424"/>
    <w:rsid w:val="0043175A"/>
    <w:rsid w:val="004319C8"/>
    <w:rsid w:val="00431F50"/>
    <w:rsid w:val="00432335"/>
    <w:rsid w:val="0043264E"/>
    <w:rsid w:val="0043345E"/>
    <w:rsid w:val="004338A6"/>
    <w:rsid w:val="00436034"/>
    <w:rsid w:val="00436490"/>
    <w:rsid w:val="004400DF"/>
    <w:rsid w:val="00440E59"/>
    <w:rsid w:val="004413C1"/>
    <w:rsid w:val="00442757"/>
    <w:rsid w:val="00444006"/>
    <w:rsid w:val="004445C5"/>
    <w:rsid w:val="0044521F"/>
    <w:rsid w:val="00445950"/>
    <w:rsid w:val="004468F6"/>
    <w:rsid w:val="00447D76"/>
    <w:rsid w:val="0045008F"/>
    <w:rsid w:val="004508DC"/>
    <w:rsid w:val="00451F62"/>
    <w:rsid w:val="004524D7"/>
    <w:rsid w:val="004529D5"/>
    <w:rsid w:val="00454427"/>
    <w:rsid w:val="00454DF9"/>
    <w:rsid w:val="00455355"/>
    <w:rsid w:val="00460C04"/>
    <w:rsid w:val="00461882"/>
    <w:rsid w:val="004621D5"/>
    <w:rsid w:val="00462603"/>
    <w:rsid w:val="00463AD3"/>
    <w:rsid w:val="00464788"/>
    <w:rsid w:val="00464AEC"/>
    <w:rsid w:val="00466B4D"/>
    <w:rsid w:val="00467998"/>
    <w:rsid w:val="00470608"/>
    <w:rsid w:val="004713A6"/>
    <w:rsid w:val="00472889"/>
    <w:rsid w:val="004742D3"/>
    <w:rsid w:val="004747A4"/>
    <w:rsid w:val="00476A4B"/>
    <w:rsid w:val="0048173B"/>
    <w:rsid w:val="00482632"/>
    <w:rsid w:val="00485002"/>
    <w:rsid w:val="00487F88"/>
    <w:rsid w:val="00490A6F"/>
    <w:rsid w:val="004914E1"/>
    <w:rsid w:val="00491624"/>
    <w:rsid w:val="00493118"/>
    <w:rsid w:val="00495329"/>
    <w:rsid w:val="004958D4"/>
    <w:rsid w:val="00497642"/>
    <w:rsid w:val="00497973"/>
    <w:rsid w:val="004A30F2"/>
    <w:rsid w:val="004A3558"/>
    <w:rsid w:val="004A37DE"/>
    <w:rsid w:val="004A771A"/>
    <w:rsid w:val="004A7A69"/>
    <w:rsid w:val="004B02B5"/>
    <w:rsid w:val="004B3D05"/>
    <w:rsid w:val="004B5E3A"/>
    <w:rsid w:val="004B6E4F"/>
    <w:rsid w:val="004B71EE"/>
    <w:rsid w:val="004C0577"/>
    <w:rsid w:val="004C27A0"/>
    <w:rsid w:val="004C2A9F"/>
    <w:rsid w:val="004C4780"/>
    <w:rsid w:val="004C4D2E"/>
    <w:rsid w:val="004C5C81"/>
    <w:rsid w:val="004C5DBA"/>
    <w:rsid w:val="004C788B"/>
    <w:rsid w:val="004D014D"/>
    <w:rsid w:val="004D0265"/>
    <w:rsid w:val="004D0306"/>
    <w:rsid w:val="004D04B5"/>
    <w:rsid w:val="004D2AB7"/>
    <w:rsid w:val="004D2E2B"/>
    <w:rsid w:val="004D3696"/>
    <w:rsid w:val="004D7498"/>
    <w:rsid w:val="004D796F"/>
    <w:rsid w:val="004D7C1D"/>
    <w:rsid w:val="004D7E57"/>
    <w:rsid w:val="004E0237"/>
    <w:rsid w:val="004E1331"/>
    <w:rsid w:val="004E2A8A"/>
    <w:rsid w:val="004E2F06"/>
    <w:rsid w:val="004E3744"/>
    <w:rsid w:val="004E3939"/>
    <w:rsid w:val="004E3F67"/>
    <w:rsid w:val="004E7381"/>
    <w:rsid w:val="004F30B0"/>
    <w:rsid w:val="004F5ED8"/>
    <w:rsid w:val="004F7B1B"/>
    <w:rsid w:val="004F7C91"/>
    <w:rsid w:val="005014E4"/>
    <w:rsid w:val="00503712"/>
    <w:rsid w:val="0050570E"/>
    <w:rsid w:val="00507F5B"/>
    <w:rsid w:val="00511BE4"/>
    <w:rsid w:val="00511D6E"/>
    <w:rsid w:val="005137BF"/>
    <w:rsid w:val="005138B6"/>
    <w:rsid w:val="00516F0A"/>
    <w:rsid w:val="00517B43"/>
    <w:rsid w:val="00517DE0"/>
    <w:rsid w:val="00520CE3"/>
    <w:rsid w:val="00521EB4"/>
    <w:rsid w:val="0052240B"/>
    <w:rsid w:val="00524E9A"/>
    <w:rsid w:val="005250AC"/>
    <w:rsid w:val="005252B7"/>
    <w:rsid w:val="00525D96"/>
    <w:rsid w:val="0053044D"/>
    <w:rsid w:val="005357D7"/>
    <w:rsid w:val="00536A85"/>
    <w:rsid w:val="00542054"/>
    <w:rsid w:val="00544364"/>
    <w:rsid w:val="00544405"/>
    <w:rsid w:val="0054442B"/>
    <w:rsid w:val="00545279"/>
    <w:rsid w:val="00554EC8"/>
    <w:rsid w:val="00555C0C"/>
    <w:rsid w:val="005565BB"/>
    <w:rsid w:val="00556C43"/>
    <w:rsid w:val="00566F58"/>
    <w:rsid w:val="00573046"/>
    <w:rsid w:val="00573B47"/>
    <w:rsid w:val="00575535"/>
    <w:rsid w:val="005757B9"/>
    <w:rsid w:val="00575CCA"/>
    <w:rsid w:val="00575D35"/>
    <w:rsid w:val="00577489"/>
    <w:rsid w:val="0057759A"/>
    <w:rsid w:val="0058058C"/>
    <w:rsid w:val="00581486"/>
    <w:rsid w:val="005821D9"/>
    <w:rsid w:val="00583187"/>
    <w:rsid w:val="00586E17"/>
    <w:rsid w:val="005931D7"/>
    <w:rsid w:val="00593725"/>
    <w:rsid w:val="005951ED"/>
    <w:rsid w:val="005A4194"/>
    <w:rsid w:val="005A6023"/>
    <w:rsid w:val="005A64C9"/>
    <w:rsid w:val="005A70C1"/>
    <w:rsid w:val="005A7BE0"/>
    <w:rsid w:val="005B27EF"/>
    <w:rsid w:val="005B2857"/>
    <w:rsid w:val="005B5BA1"/>
    <w:rsid w:val="005B7B3C"/>
    <w:rsid w:val="005B7EDE"/>
    <w:rsid w:val="005C013C"/>
    <w:rsid w:val="005C18F1"/>
    <w:rsid w:val="005C3463"/>
    <w:rsid w:val="005D0E22"/>
    <w:rsid w:val="005D12D7"/>
    <w:rsid w:val="005D1CE9"/>
    <w:rsid w:val="005D3DAD"/>
    <w:rsid w:val="005D6E77"/>
    <w:rsid w:val="005D78E9"/>
    <w:rsid w:val="005E01D8"/>
    <w:rsid w:val="005E0E80"/>
    <w:rsid w:val="005E20FE"/>
    <w:rsid w:val="005E2E33"/>
    <w:rsid w:val="005E4BAB"/>
    <w:rsid w:val="005E5682"/>
    <w:rsid w:val="005E69A1"/>
    <w:rsid w:val="005E74AC"/>
    <w:rsid w:val="005E7620"/>
    <w:rsid w:val="005E7928"/>
    <w:rsid w:val="005F1BD5"/>
    <w:rsid w:val="005F2872"/>
    <w:rsid w:val="005F51D2"/>
    <w:rsid w:val="005F5987"/>
    <w:rsid w:val="005F6C12"/>
    <w:rsid w:val="005F6ED9"/>
    <w:rsid w:val="005F7639"/>
    <w:rsid w:val="00601E50"/>
    <w:rsid w:val="00603205"/>
    <w:rsid w:val="00606468"/>
    <w:rsid w:val="00606910"/>
    <w:rsid w:val="00606A4D"/>
    <w:rsid w:val="00606B02"/>
    <w:rsid w:val="006146B8"/>
    <w:rsid w:val="006156EC"/>
    <w:rsid w:val="006162B1"/>
    <w:rsid w:val="00617166"/>
    <w:rsid w:val="00622D90"/>
    <w:rsid w:val="00624E85"/>
    <w:rsid w:val="00624F19"/>
    <w:rsid w:val="00626828"/>
    <w:rsid w:val="00631173"/>
    <w:rsid w:val="0063479E"/>
    <w:rsid w:val="00634C17"/>
    <w:rsid w:val="00637711"/>
    <w:rsid w:val="0064552E"/>
    <w:rsid w:val="00646089"/>
    <w:rsid w:val="00646A7E"/>
    <w:rsid w:val="00651CFA"/>
    <w:rsid w:val="006520ED"/>
    <w:rsid w:val="00656233"/>
    <w:rsid w:val="00656254"/>
    <w:rsid w:val="00656834"/>
    <w:rsid w:val="00657C23"/>
    <w:rsid w:val="00660807"/>
    <w:rsid w:val="00663DB2"/>
    <w:rsid w:val="006649F6"/>
    <w:rsid w:val="00667C66"/>
    <w:rsid w:val="00670CBC"/>
    <w:rsid w:val="00671436"/>
    <w:rsid w:val="006719CE"/>
    <w:rsid w:val="00671A67"/>
    <w:rsid w:val="00672DDD"/>
    <w:rsid w:val="006732E7"/>
    <w:rsid w:val="00673336"/>
    <w:rsid w:val="00673512"/>
    <w:rsid w:val="006747AF"/>
    <w:rsid w:val="00674E15"/>
    <w:rsid w:val="006803E1"/>
    <w:rsid w:val="00680602"/>
    <w:rsid w:val="00681E1A"/>
    <w:rsid w:val="006835D9"/>
    <w:rsid w:val="0068488D"/>
    <w:rsid w:val="00690823"/>
    <w:rsid w:val="00692040"/>
    <w:rsid w:val="006932F3"/>
    <w:rsid w:val="00693DA6"/>
    <w:rsid w:val="006940A5"/>
    <w:rsid w:val="006967B2"/>
    <w:rsid w:val="006A2F51"/>
    <w:rsid w:val="006A3167"/>
    <w:rsid w:val="006A3315"/>
    <w:rsid w:val="006A6271"/>
    <w:rsid w:val="006B5153"/>
    <w:rsid w:val="006B5610"/>
    <w:rsid w:val="006B75BC"/>
    <w:rsid w:val="006B7979"/>
    <w:rsid w:val="006C4570"/>
    <w:rsid w:val="006C45BC"/>
    <w:rsid w:val="006C4AB2"/>
    <w:rsid w:val="006C4BAA"/>
    <w:rsid w:val="006C78C7"/>
    <w:rsid w:val="006C7A3D"/>
    <w:rsid w:val="006D223F"/>
    <w:rsid w:val="006D30BB"/>
    <w:rsid w:val="006D38F6"/>
    <w:rsid w:val="006E0305"/>
    <w:rsid w:val="006E0DA4"/>
    <w:rsid w:val="006E11EA"/>
    <w:rsid w:val="006E1238"/>
    <w:rsid w:val="006E2312"/>
    <w:rsid w:val="006E56BD"/>
    <w:rsid w:val="006E759C"/>
    <w:rsid w:val="006F1203"/>
    <w:rsid w:val="006F606E"/>
    <w:rsid w:val="006F6DAD"/>
    <w:rsid w:val="006F6FD0"/>
    <w:rsid w:val="0070039E"/>
    <w:rsid w:val="00701862"/>
    <w:rsid w:val="007030D7"/>
    <w:rsid w:val="00704906"/>
    <w:rsid w:val="00705910"/>
    <w:rsid w:val="00706147"/>
    <w:rsid w:val="00712BDE"/>
    <w:rsid w:val="007132CF"/>
    <w:rsid w:val="007138C7"/>
    <w:rsid w:val="00713E02"/>
    <w:rsid w:val="0071444F"/>
    <w:rsid w:val="00714A7C"/>
    <w:rsid w:val="00715EE1"/>
    <w:rsid w:val="00716685"/>
    <w:rsid w:val="00717F03"/>
    <w:rsid w:val="00721C65"/>
    <w:rsid w:val="00721FAB"/>
    <w:rsid w:val="007226C3"/>
    <w:rsid w:val="007243B7"/>
    <w:rsid w:val="00724526"/>
    <w:rsid w:val="00726A22"/>
    <w:rsid w:val="00730E50"/>
    <w:rsid w:val="00731D91"/>
    <w:rsid w:val="0073206F"/>
    <w:rsid w:val="007330E0"/>
    <w:rsid w:val="00733550"/>
    <w:rsid w:val="00735F17"/>
    <w:rsid w:val="007372EF"/>
    <w:rsid w:val="007378A7"/>
    <w:rsid w:val="0074028B"/>
    <w:rsid w:val="007432EA"/>
    <w:rsid w:val="00746414"/>
    <w:rsid w:val="007564D9"/>
    <w:rsid w:val="0075683B"/>
    <w:rsid w:val="007625BB"/>
    <w:rsid w:val="007631B1"/>
    <w:rsid w:val="00770A24"/>
    <w:rsid w:val="00772F3E"/>
    <w:rsid w:val="00775768"/>
    <w:rsid w:val="007830F4"/>
    <w:rsid w:val="00784DB6"/>
    <w:rsid w:val="007851B3"/>
    <w:rsid w:val="00785302"/>
    <w:rsid w:val="007879B5"/>
    <w:rsid w:val="00791BA2"/>
    <w:rsid w:val="007922B6"/>
    <w:rsid w:val="00796C41"/>
    <w:rsid w:val="00797906"/>
    <w:rsid w:val="007A2288"/>
    <w:rsid w:val="007A400F"/>
    <w:rsid w:val="007A5CA5"/>
    <w:rsid w:val="007A733E"/>
    <w:rsid w:val="007B09E8"/>
    <w:rsid w:val="007B5973"/>
    <w:rsid w:val="007C1D47"/>
    <w:rsid w:val="007C1EEB"/>
    <w:rsid w:val="007C3CA1"/>
    <w:rsid w:val="007C6545"/>
    <w:rsid w:val="007C65AC"/>
    <w:rsid w:val="007D0B87"/>
    <w:rsid w:val="007D1930"/>
    <w:rsid w:val="007D1FEF"/>
    <w:rsid w:val="007D23ED"/>
    <w:rsid w:val="007D5295"/>
    <w:rsid w:val="007E07B9"/>
    <w:rsid w:val="007E3080"/>
    <w:rsid w:val="007E6D45"/>
    <w:rsid w:val="007F1A9F"/>
    <w:rsid w:val="007F2E48"/>
    <w:rsid w:val="007F3419"/>
    <w:rsid w:val="007F3E5F"/>
    <w:rsid w:val="007F4F8D"/>
    <w:rsid w:val="007F5B47"/>
    <w:rsid w:val="007F61B0"/>
    <w:rsid w:val="007F711F"/>
    <w:rsid w:val="007F731F"/>
    <w:rsid w:val="007F78BF"/>
    <w:rsid w:val="007F7AB3"/>
    <w:rsid w:val="00800B4C"/>
    <w:rsid w:val="00800EF8"/>
    <w:rsid w:val="0080116E"/>
    <w:rsid w:val="00801D8C"/>
    <w:rsid w:val="008043FE"/>
    <w:rsid w:val="008069BA"/>
    <w:rsid w:val="0080746F"/>
    <w:rsid w:val="00810241"/>
    <w:rsid w:val="00813F7A"/>
    <w:rsid w:val="00814E85"/>
    <w:rsid w:val="00816800"/>
    <w:rsid w:val="008179C2"/>
    <w:rsid w:val="00821508"/>
    <w:rsid w:val="00824CB6"/>
    <w:rsid w:val="00824F3F"/>
    <w:rsid w:val="00825080"/>
    <w:rsid w:val="00826DE0"/>
    <w:rsid w:val="00830FE9"/>
    <w:rsid w:val="008310C9"/>
    <w:rsid w:val="0083155D"/>
    <w:rsid w:val="00832667"/>
    <w:rsid w:val="00832FB6"/>
    <w:rsid w:val="008357DC"/>
    <w:rsid w:val="008359C0"/>
    <w:rsid w:val="00835B07"/>
    <w:rsid w:val="00836F9E"/>
    <w:rsid w:val="00840DED"/>
    <w:rsid w:val="008411F0"/>
    <w:rsid w:val="0084363C"/>
    <w:rsid w:val="00843A72"/>
    <w:rsid w:val="0084444F"/>
    <w:rsid w:val="00844E8F"/>
    <w:rsid w:val="0084562C"/>
    <w:rsid w:val="0084675C"/>
    <w:rsid w:val="0084695E"/>
    <w:rsid w:val="00850B9B"/>
    <w:rsid w:val="00850DCB"/>
    <w:rsid w:val="00851B81"/>
    <w:rsid w:val="008539F4"/>
    <w:rsid w:val="00854509"/>
    <w:rsid w:val="008562A8"/>
    <w:rsid w:val="00856618"/>
    <w:rsid w:val="00857105"/>
    <w:rsid w:val="00860133"/>
    <w:rsid w:val="00860BB6"/>
    <w:rsid w:val="00862B7C"/>
    <w:rsid w:val="008632EE"/>
    <w:rsid w:val="0086456F"/>
    <w:rsid w:val="00866BBA"/>
    <w:rsid w:val="00867893"/>
    <w:rsid w:val="00870B81"/>
    <w:rsid w:val="0087137A"/>
    <w:rsid w:val="00871742"/>
    <w:rsid w:val="008720FD"/>
    <w:rsid w:val="008723A1"/>
    <w:rsid w:val="0087288B"/>
    <w:rsid w:val="00873AF8"/>
    <w:rsid w:val="00882BD4"/>
    <w:rsid w:val="00886461"/>
    <w:rsid w:val="0089043D"/>
    <w:rsid w:val="00891400"/>
    <w:rsid w:val="00891406"/>
    <w:rsid w:val="00892430"/>
    <w:rsid w:val="008926C9"/>
    <w:rsid w:val="008926D0"/>
    <w:rsid w:val="008929DC"/>
    <w:rsid w:val="00895D54"/>
    <w:rsid w:val="00897BF1"/>
    <w:rsid w:val="008A2DB4"/>
    <w:rsid w:val="008A5D56"/>
    <w:rsid w:val="008A75DD"/>
    <w:rsid w:val="008B0324"/>
    <w:rsid w:val="008B043B"/>
    <w:rsid w:val="008B3E7B"/>
    <w:rsid w:val="008B78B6"/>
    <w:rsid w:val="008B7945"/>
    <w:rsid w:val="008C0380"/>
    <w:rsid w:val="008C0EEA"/>
    <w:rsid w:val="008C3156"/>
    <w:rsid w:val="008C3610"/>
    <w:rsid w:val="008C38E0"/>
    <w:rsid w:val="008C46A3"/>
    <w:rsid w:val="008C55DC"/>
    <w:rsid w:val="008C69DA"/>
    <w:rsid w:val="008C6AEE"/>
    <w:rsid w:val="008C6F88"/>
    <w:rsid w:val="008C7DBF"/>
    <w:rsid w:val="008D02A8"/>
    <w:rsid w:val="008D0F63"/>
    <w:rsid w:val="008D1094"/>
    <w:rsid w:val="008D14A7"/>
    <w:rsid w:val="008D30CF"/>
    <w:rsid w:val="008D5025"/>
    <w:rsid w:val="008D69C1"/>
    <w:rsid w:val="008E06F9"/>
    <w:rsid w:val="008E3533"/>
    <w:rsid w:val="008E79B8"/>
    <w:rsid w:val="008E7FDF"/>
    <w:rsid w:val="008F2A89"/>
    <w:rsid w:val="008F5CEF"/>
    <w:rsid w:val="008F7034"/>
    <w:rsid w:val="008F7315"/>
    <w:rsid w:val="008F7F01"/>
    <w:rsid w:val="00901490"/>
    <w:rsid w:val="00901801"/>
    <w:rsid w:val="00904CA9"/>
    <w:rsid w:val="00905D05"/>
    <w:rsid w:val="00907DA7"/>
    <w:rsid w:val="00912102"/>
    <w:rsid w:val="00913FEA"/>
    <w:rsid w:val="00916DCC"/>
    <w:rsid w:val="00923787"/>
    <w:rsid w:val="00924CAE"/>
    <w:rsid w:val="009266DB"/>
    <w:rsid w:val="00931518"/>
    <w:rsid w:val="00933D72"/>
    <w:rsid w:val="009340E1"/>
    <w:rsid w:val="0093479E"/>
    <w:rsid w:val="0093517B"/>
    <w:rsid w:val="009362A7"/>
    <w:rsid w:val="009411E5"/>
    <w:rsid w:val="0094193A"/>
    <w:rsid w:val="00941D17"/>
    <w:rsid w:val="009449DA"/>
    <w:rsid w:val="0094696D"/>
    <w:rsid w:val="00946A9A"/>
    <w:rsid w:val="00946E57"/>
    <w:rsid w:val="009521E6"/>
    <w:rsid w:val="00952BF4"/>
    <w:rsid w:val="009531ED"/>
    <w:rsid w:val="00954A87"/>
    <w:rsid w:val="00960C45"/>
    <w:rsid w:val="00961818"/>
    <w:rsid w:val="009628EA"/>
    <w:rsid w:val="00964BE3"/>
    <w:rsid w:val="00967BA3"/>
    <w:rsid w:val="00967C4D"/>
    <w:rsid w:val="00972ABF"/>
    <w:rsid w:val="009733AC"/>
    <w:rsid w:val="0097489D"/>
    <w:rsid w:val="00982F72"/>
    <w:rsid w:val="00983B8E"/>
    <w:rsid w:val="0098417A"/>
    <w:rsid w:val="009852C8"/>
    <w:rsid w:val="00986617"/>
    <w:rsid w:val="00987E14"/>
    <w:rsid w:val="00990CBF"/>
    <w:rsid w:val="00990EE5"/>
    <w:rsid w:val="0099197C"/>
    <w:rsid w:val="00993315"/>
    <w:rsid w:val="00994454"/>
    <w:rsid w:val="00994DC9"/>
    <w:rsid w:val="00995476"/>
    <w:rsid w:val="00995517"/>
    <w:rsid w:val="00996DEE"/>
    <w:rsid w:val="009973BE"/>
    <w:rsid w:val="00997FF3"/>
    <w:rsid w:val="009A0388"/>
    <w:rsid w:val="009A1414"/>
    <w:rsid w:val="009A257D"/>
    <w:rsid w:val="009A5708"/>
    <w:rsid w:val="009A6554"/>
    <w:rsid w:val="009A69BA"/>
    <w:rsid w:val="009A69EC"/>
    <w:rsid w:val="009A78B1"/>
    <w:rsid w:val="009A7BD8"/>
    <w:rsid w:val="009A7ED6"/>
    <w:rsid w:val="009B17C6"/>
    <w:rsid w:val="009B49EB"/>
    <w:rsid w:val="009C16D2"/>
    <w:rsid w:val="009C1DA5"/>
    <w:rsid w:val="009C436C"/>
    <w:rsid w:val="009C521F"/>
    <w:rsid w:val="009C5CAC"/>
    <w:rsid w:val="009C63CE"/>
    <w:rsid w:val="009C7982"/>
    <w:rsid w:val="009C7C9C"/>
    <w:rsid w:val="009C7CF6"/>
    <w:rsid w:val="009D2636"/>
    <w:rsid w:val="009D3732"/>
    <w:rsid w:val="009D3D46"/>
    <w:rsid w:val="009D40D8"/>
    <w:rsid w:val="009D4DAB"/>
    <w:rsid w:val="009D55AB"/>
    <w:rsid w:val="009D7534"/>
    <w:rsid w:val="009E4058"/>
    <w:rsid w:val="009E4261"/>
    <w:rsid w:val="009E676F"/>
    <w:rsid w:val="009E6DBB"/>
    <w:rsid w:val="009E7EC5"/>
    <w:rsid w:val="009F0D5F"/>
    <w:rsid w:val="009F2CEC"/>
    <w:rsid w:val="009F2E7B"/>
    <w:rsid w:val="009F3FF2"/>
    <w:rsid w:val="009F4116"/>
    <w:rsid w:val="009F4DA8"/>
    <w:rsid w:val="009F4F54"/>
    <w:rsid w:val="009F6055"/>
    <w:rsid w:val="009F66A8"/>
    <w:rsid w:val="009F698B"/>
    <w:rsid w:val="009F7300"/>
    <w:rsid w:val="00A032C9"/>
    <w:rsid w:val="00A03F93"/>
    <w:rsid w:val="00A051EA"/>
    <w:rsid w:val="00A05ECE"/>
    <w:rsid w:val="00A07768"/>
    <w:rsid w:val="00A11101"/>
    <w:rsid w:val="00A111BA"/>
    <w:rsid w:val="00A11834"/>
    <w:rsid w:val="00A129BF"/>
    <w:rsid w:val="00A1697F"/>
    <w:rsid w:val="00A1712C"/>
    <w:rsid w:val="00A178A9"/>
    <w:rsid w:val="00A2117C"/>
    <w:rsid w:val="00A21663"/>
    <w:rsid w:val="00A22228"/>
    <w:rsid w:val="00A23C66"/>
    <w:rsid w:val="00A27B85"/>
    <w:rsid w:val="00A303FC"/>
    <w:rsid w:val="00A317B2"/>
    <w:rsid w:val="00A32BB8"/>
    <w:rsid w:val="00A34616"/>
    <w:rsid w:val="00A35B14"/>
    <w:rsid w:val="00A3691B"/>
    <w:rsid w:val="00A375E3"/>
    <w:rsid w:val="00A40351"/>
    <w:rsid w:val="00A40597"/>
    <w:rsid w:val="00A41437"/>
    <w:rsid w:val="00A41515"/>
    <w:rsid w:val="00A44437"/>
    <w:rsid w:val="00A451B2"/>
    <w:rsid w:val="00A468DB"/>
    <w:rsid w:val="00A46FC3"/>
    <w:rsid w:val="00A47B1C"/>
    <w:rsid w:val="00A514F2"/>
    <w:rsid w:val="00A5173B"/>
    <w:rsid w:val="00A5281E"/>
    <w:rsid w:val="00A54C19"/>
    <w:rsid w:val="00A56737"/>
    <w:rsid w:val="00A57EE6"/>
    <w:rsid w:val="00A60084"/>
    <w:rsid w:val="00A61E84"/>
    <w:rsid w:val="00A6205C"/>
    <w:rsid w:val="00A62B86"/>
    <w:rsid w:val="00A62FD5"/>
    <w:rsid w:val="00A631D6"/>
    <w:rsid w:val="00A66C00"/>
    <w:rsid w:val="00A67BFD"/>
    <w:rsid w:val="00A67C49"/>
    <w:rsid w:val="00A733AE"/>
    <w:rsid w:val="00A76710"/>
    <w:rsid w:val="00A76B76"/>
    <w:rsid w:val="00A77DFA"/>
    <w:rsid w:val="00A803C0"/>
    <w:rsid w:val="00A808AC"/>
    <w:rsid w:val="00A831B0"/>
    <w:rsid w:val="00A8496D"/>
    <w:rsid w:val="00A85D27"/>
    <w:rsid w:val="00A919DB"/>
    <w:rsid w:val="00A929C6"/>
    <w:rsid w:val="00A934F4"/>
    <w:rsid w:val="00AA2804"/>
    <w:rsid w:val="00AA2CA0"/>
    <w:rsid w:val="00AA39B3"/>
    <w:rsid w:val="00AA5C88"/>
    <w:rsid w:val="00AA5F11"/>
    <w:rsid w:val="00AA63DE"/>
    <w:rsid w:val="00AB1ED2"/>
    <w:rsid w:val="00AB3F6A"/>
    <w:rsid w:val="00AB4923"/>
    <w:rsid w:val="00AB4ECB"/>
    <w:rsid w:val="00AC073A"/>
    <w:rsid w:val="00AC2DD0"/>
    <w:rsid w:val="00AC3A79"/>
    <w:rsid w:val="00AC46C4"/>
    <w:rsid w:val="00AC4C49"/>
    <w:rsid w:val="00AC594D"/>
    <w:rsid w:val="00AC6013"/>
    <w:rsid w:val="00AD0541"/>
    <w:rsid w:val="00AD11D6"/>
    <w:rsid w:val="00AD15B2"/>
    <w:rsid w:val="00AD6B10"/>
    <w:rsid w:val="00AE0E3F"/>
    <w:rsid w:val="00AE12FA"/>
    <w:rsid w:val="00AE1BE8"/>
    <w:rsid w:val="00AE20F5"/>
    <w:rsid w:val="00AE2475"/>
    <w:rsid w:val="00AE285E"/>
    <w:rsid w:val="00AE3012"/>
    <w:rsid w:val="00AE46C5"/>
    <w:rsid w:val="00AE4C99"/>
    <w:rsid w:val="00AE7FFD"/>
    <w:rsid w:val="00AF0660"/>
    <w:rsid w:val="00AF22BF"/>
    <w:rsid w:val="00AF6046"/>
    <w:rsid w:val="00AF6AF6"/>
    <w:rsid w:val="00AF7553"/>
    <w:rsid w:val="00B02ED1"/>
    <w:rsid w:val="00B04118"/>
    <w:rsid w:val="00B05093"/>
    <w:rsid w:val="00B05F21"/>
    <w:rsid w:val="00B07439"/>
    <w:rsid w:val="00B114C5"/>
    <w:rsid w:val="00B147BF"/>
    <w:rsid w:val="00B14E48"/>
    <w:rsid w:val="00B1563F"/>
    <w:rsid w:val="00B21480"/>
    <w:rsid w:val="00B21B57"/>
    <w:rsid w:val="00B22D1C"/>
    <w:rsid w:val="00B2339D"/>
    <w:rsid w:val="00B242BC"/>
    <w:rsid w:val="00B2556D"/>
    <w:rsid w:val="00B3210F"/>
    <w:rsid w:val="00B32A6B"/>
    <w:rsid w:val="00B34274"/>
    <w:rsid w:val="00B34B67"/>
    <w:rsid w:val="00B35C94"/>
    <w:rsid w:val="00B364D2"/>
    <w:rsid w:val="00B36E15"/>
    <w:rsid w:val="00B3748A"/>
    <w:rsid w:val="00B37AF9"/>
    <w:rsid w:val="00B4425F"/>
    <w:rsid w:val="00B46037"/>
    <w:rsid w:val="00B50AB6"/>
    <w:rsid w:val="00B51A47"/>
    <w:rsid w:val="00B52145"/>
    <w:rsid w:val="00B5290D"/>
    <w:rsid w:val="00B52A0D"/>
    <w:rsid w:val="00B530DC"/>
    <w:rsid w:val="00B539EA"/>
    <w:rsid w:val="00B549CC"/>
    <w:rsid w:val="00B55DE5"/>
    <w:rsid w:val="00B5603C"/>
    <w:rsid w:val="00B57D88"/>
    <w:rsid w:val="00B61082"/>
    <w:rsid w:val="00B6175B"/>
    <w:rsid w:val="00B61D98"/>
    <w:rsid w:val="00B62331"/>
    <w:rsid w:val="00B62980"/>
    <w:rsid w:val="00B63AB4"/>
    <w:rsid w:val="00B63F6A"/>
    <w:rsid w:val="00B6556B"/>
    <w:rsid w:val="00B7208C"/>
    <w:rsid w:val="00B72C0C"/>
    <w:rsid w:val="00B74F6B"/>
    <w:rsid w:val="00B7631B"/>
    <w:rsid w:val="00B7637A"/>
    <w:rsid w:val="00B778DC"/>
    <w:rsid w:val="00B81269"/>
    <w:rsid w:val="00B816F8"/>
    <w:rsid w:val="00B8179E"/>
    <w:rsid w:val="00B824C4"/>
    <w:rsid w:val="00B8468B"/>
    <w:rsid w:val="00B84A8F"/>
    <w:rsid w:val="00B857C9"/>
    <w:rsid w:val="00B85D58"/>
    <w:rsid w:val="00B85F34"/>
    <w:rsid w:val="00B9029D"/>
    <w:rsid w:val="00B91B2B"/>
    <w:rsid w:val="00B92167"/>
    <w:rsid w:val="00B927EF"/>
    <w:rsid w:val="00B93F24"/>
    <w:rsid w:val="00B95E9F"/>
    <w:rsid w:val="00B9702B"/>
    <w:rsid w:val="00B97646"/>
    <w:rsid w:val="00B97EDE"/>
    <w:rsid w:val="00BA0DA3"/>
    <w:rsid w:val="00BA1C7C"/>
    <w:rsid w:val="00BA33C2"/>
    <w:rsid w:val="00BA610F"/>
    <w:rsid w:val="00BB3747"/>
    <w:rsid w:val="00BB42B5"/>
    <w:rsid w:val="00BB4D7A"/>
    <w:rsid w:val="00BB6691"/>
    <w:rsid w:val="00BC0BE6"/>
    <w:rsid w:val="00BC1624"/>
    <w:rsid w:val="00BC1743"/>
    <w:rsid w:val="00BC4101"/>
    <w:rsid w:val="00BC4521"/>
    <w:rsid w:val="00BC5393"/>
    <w:rsid w:val="00BC56D2"/>
    <w:rsid w:val="00BC5AF6"/>
    <w:rsid w:val="00BD1AA1"/>
    <w:rsid w:val="00BD33A3"/>
    <w:rsid w:val="00BD3E3A"/>
    <w:rsid w:val="00BD4558"/>
    <w:rsid w:val="00BD7BFB"/>
    <w:rsid w:val="00BE0D45"/>
    <w:rsid w:val="00BE4B0F"/>
    <w:rsid w:val="00BE656A"/>
    <w:rsid w:val="00BF0FB3"/>
    <w:rsid w:val="00BF1D38"/>
    <w:rsid w:val="00BF2CE0"/>
    <w:rsid w:val="00BF41DA"/>
    <w:rsid w:val="00BF43FC"/>
    <w:rsid w:val="00BF59B4"/>
    <w:rsid w:val="00BF7DDB"/>
    <w:rsid w:val="00C0268D"/>
    <w:rsid w:val="00C06588"/>
    <w:rsid w:val="00C1056F"/>
    <w:rsid w:val="00C11282"/>
    <w:rsid w:val="00C12AE7"/>
    <w:rsid w:val="00C14A4A"/>
    <w:rsid w:val="00C15B54"/>
    <w:rsid w:val="00C228BC"/>
    <w:rsid w:val="00C23095"/>
    <w:rsid w:val="00C2348E"/>
    <w:rsid w:val="00C2503E"/>
    <w:rsid w:val="00C25FAB"/>
    <w:rsid w:val="00C32B51"/>
    <w:rsid w:val="00C34896"/>
    <w:rsid w:val="00C35B31"/>
    <w:rsid w:val="00C36406"/>
    <w:rsid w:val="00C37B9F"/>
    <w:rsid w:val="00C408AF"/>
    <w:rsid w:val="00C42279"/>
    <w:rsid w:val="00C423CF"/>
    <w:rsid w:val="00C43D20"/>
    <w:rsid w:val="00C443DC"/>
    <w:rsid w:val="00C5005B"/>
    <w:rsid w:val="00C50610"/>
    <w:rsid w:val="00C51D53"/>
    <w:rsid w:val="00C549CC"/>
    <w:rsid w:val="00C56337"/>
    <w:rsid w:val="00C5702C"/>
    <w:rsid w:val="00C608AE"/>
    <w:rsid w:val="00C6214A"/>
    <w:rsid w:val="00C62C47"/>
    <w:rsid w:val="00C63C5A"/>
    <w:rsid w:val="00C70021"/>
    <w:rsid w:val="00C70146"/>
    <w:rsid w:val="00C72791"/>
    <w:rsid w:val="00C73E2E"/>
    <w:rsid w:val="00C74D60"/>
    <w:rsid w:val="00C7530D"/>
    <w:rsid w:val="00C7630B"/>
    <w:rsid w:val="00C840E9"/>
    <w:rsid w:val="00C92097"/>
    <w:rsid w:val="00C92B3B"/>
    <w:rsid w:val="00C93F3A"/>
    <w:rsid w:val="00C97604"/>
    <w:rsid w:val="00CA14F7"/>
    <w:rsid w:val="00CA1554"/>
    <w:rsid w:val="00CA3AB0"/>
    <w:rsid w:val="00CA3AE8"/>
    <w:rsid w:val="00CA431F"/>
    <w:rsid w:val="00CA4327"/>
    <w:rsid w:val="00CA4A13"/>
    <w:rsid w:val="00CA58EB"/>
    <w:rsid w:val="00CA6623"/>
    <w:rsid w:val="00CA6C3C"/>
    <w:rsid w:val="00CA6F69"/>
    <w:rsid w:val="00CB24BD"/>
    <w:rsid w:val="00CB26CA"/>
    <w:rsid w:val="00CB2C97"/>
    <w:rsid w:val="00CB43F3"/>
    <w:rsid w:val="00CB4416"/>
    <w:rsid w:val="00CB512B"/>
    <w:rsid w:val="00CB7A36"/>
    <w:rsid w:val="00CC0486"/>
    <w:rsid w:val="00CC244E"/>
    <w:rsid w:val="00CC45E8"/>
    <w:rsid w:val="00CC6B95"/>
    <w:rsid w:val="00CC7A45"/>
    <w:rsid w:val="00CD267B"/>
    <w:rsid w:val="00CD2BFE"/>
    <w:rsid w:val="00CD3738"/>
    <w:rsid w:val="00CD4E74"/>
    <w:rsid w:val="00CD5402"/>
    <w:rsid w:val="00CD5901"/>
    <w:rsid w:val="00CD61A9"/>
    <w:rsid w:val="00CD7FBF"/>
    <w:rsid w:val="00CE40A7"/>
    <w:rsid w:val="00CE50B6"/>
    <w:rsid w:val="00CE59F5"/>
    <w:rsid w:val="00CE5E4B"/>
    <w:rsid w:val="00CE6D39"/>
    <w:rsid w:val="00CE7278"/>
    <w:rsid w:val="00CE7507"/>
    <w:rsid w:val="00CF076B"/>
    <w:rsid w:val="00CF1827"/>
    <w:rsid w:val="00CF2C43"/>
    <w:rsid w:val="00CF43DB"/>
    <w:rsid w:val="00CF6B47"/>
    <w:rsid w:val="00D01825"/>
    <w:rsid w:val="00D03025"/>
    <w:rsid w:val="00D04059"/>
    <w:rsid w:val="00D056A4"/>
    <w:rsid w:val="00D109E3"/>
    <w:rsid w:val="00D12ED6"/>
    <w:rsid w:val="00D13484"/>
    <w:rsid w:val="00D13487"/>
    <w:rsid w:val="00D13BE3"/>
    <w:rsid w:val="00D13D3B"/>
    <w:rsid w:val="00D1464F"/>
    <w:rsid w:val="00D153C1"/>
    <w:rsid w:val="00D156B6"/>
    <w:rsid w:val="00D2114C"/>
    <w:rsid w:val="00D217D1"/>
    <w:rsid w:val="00D221CB"/>
    <w:rsid w:val="00D225CB"/>
    <w:rsid w:val="00D23593"/>
    <w:rsid w:val="00D2397E"/>
    <w:rsid w:val="00D23EE8"/>
    <w:rsid w:val="00D24910"/>
    <w:rsid w:val="00D24D1E"/>
    <w:rsid w:val="00D3157F"/>
    <w:rsid w:val="00D31A44"/>
    <w:rsid w:val="00D323BE"/>
    <w:rsid w:val="00D329EE"/>
    <w:rsid w:val="00D3546D"/>
    <w:rsid w:val="00D3666B"/>
    <w:rsid w:val="00D368E0"/>
    <w:rsid w:val="00D37941"/>
    <w:rsid w:val="00D41FC2"/>
    <w:rsid w:val="00D4290C"/>
    <w:rsid w:val="00D46418"/>
    <w:rsid w:val="00D4702B"/>
    <w:rsid w:val="00D47AD6"/>
    <w:rsid w:val="00D51D79"/>
    <w:rsid w:val="00D52A6F"/>
    <w:rsid w:val="00D55211"/>
    <w:rsid w:val="00D564CB"/>
    <w:rsid w:val="00D61DF2"/>
    <w:rsid w:val="00D62F8C"/>
    <w:rsid w:val="00D641FD"/>
    <w:rsid w:val="00D64513"/>
    <w:rsid w:val="00D64689"/>
    <w:rsid w:val="00D64839"/>
    <w:rsid w:val="00D6686D"/>
    <w:rsid w:val="00D6714B"/>
    <w:rsid w:val="00D70A93"/>
    <w:rsid w:val="00D70BEF"/>
    <w:rsid w:val="00D726D6"/>
    <w:rsid w:val="00D7280E"/>
    <w:rsid w:val="00D7370D"/>
    <w:rsid w:val="00D74D7C"/>
    <w:rsid w:val="00D74F25"/>
    <w:rsid w:val="00D75F59"/>
    <w:rsid w:val="00D809E2"/>
    <w:rsid w:val="00D8147F"/>
    <w:rsid w:val="00D8157B"/>
    <w:rsid w:val="00D81B1F"/>
    <w:rsid w:val="00D82812"/>
    <w:rsid w:val="00D833B7"/>
    <w:rsid w:val="00D90B80"/>
    <w:rsid w:val="00D91BD3"/>
    <w:rsid w:val="00D96BFD"/>
    <w:rsid w:val="00DA0A89"/>
    <w:rsid w:val="00DA38F2"/>
    <w:rsid w:val="00DA4770"/>
    <w:rsid w:val="00DA77B5"/>
    <w:rsid w:val="00DB055C"/>
    <w:rsid w:val="00DB0817"/>
    <w:rsid w:val="00DB4D16"/>
    <w:rsid w:val="00DB6352"/>
    <w:rsid w:val="00DB7821"/>
    <w:rsid w:val="00DB7CAF"/>
    <w:rsid w:val="00DC1FD8"/>
    <w:rsid w:val="00DC34B5"/>
    <w:rsid w:val="00DC4145"/>
    <w:rsid w:val="00DC529E"/>
    <w:rsid w:val="00DC75FA"/>
    <w:rsid w:val="00DC7846"/>
    <w:rsid w:val="00DD0CA6"/>
    <w:rsid w:val="00DD1419"/>
    <w:rsid w:val="00DD55B6"/>
    <w:rsid w:val="00DD63D3"/>
    <w:rsid w:val="00DD6E98"/>
    <w:rsid w:val="00DE3014"/>
    <w:rsid w:val="00DE660A"/>
    <w:rsid w:val="00DE677C"/>
    <w:rsid w:val="00DE78BA"/>
    <w:rsid w:val="00DF0594"/>
    <w:rsid w:val="00DF07A5"/>
    <w:rsid w:val="00DF1216"/>
    <w:rsid w:val="00DF4A6F"/>
    <w:rsid w:val="00DF76BA"/>
    <w:rsid w:val="00E01F6B"/>
    <w:rsid w:val="00E03522"/>
    <w:rsid w:val="00E04462"/>
    <w:rsid w:val="00E05044"/>
    <w:rsid w:val="00E05B07"/>
    <w:rsid w:val="00E075B4"/>
    <w:rsid w:val="00E100EA"/>
    <w:rsid w:val="00E110E4"/>
    <w:rsid w:val="00E155A5"/>
    <w:rsid w:val="00E166B7"/>
    <w:rsid w:val="00E17878"/>
    <w:rsid w:val="00E21E6F"/>
    <w:rsid w:val="00E24471"/>
    <w:rsid w:val="00E27353"/>
    <w:rsid w:val="00E34FBB"/>
    <w:rsid w:val="00E358C9"/>
    <w:rsid w:val="00E35D78"/>
    <w:rsid w:val="00E36D25"/>
    <w:rsid w:val="00E40296"/>
    <w:rsid w:val="00E4259C"/>
    <w:rsid w:val="00E52180"/>
    <w:rsid w:val="00E52E9D"/>
    <w:rsid w:val="00E53328"/>
    <w:rsid w:val="00E55937"/>
    <w:rsid w:val="00E55EDF"/>
    <w:rsid w:val="00E56475"/>
    <w:rsid w:val="00E56675"/>
    <w:rsid w:val="00E567BB"/>
    <w:rsid w:val="00E60366"/>
    <w:rsid w:val="00E62423"/>
    <w:rsid w:val="00E6287F"/>
    <w:rsid w:val="00E63251"/>
    <w:rsid w:val="00E63BA8"/>
    <w:rsid w:val="00E67003"/>
    <w:rsid w:val="00E67968"/>
    <w:rsid w:val="00E70BD0"/>
    <w:rsid w:val="00E72C27"/>
    <w:rsid w:val="00E7448E"/>
    <w:rsid w:val="00E74B69"/>
    <w:rsid w:val="00E756A4"/>
    <w:rsid w:val="00E7642E"/>
    <w:rsid w:val="00E802B6"/>
    <w:rsid w:val="00E83A79"/>
    <w:rsid w:val="00E83F8E"/>
    <w:rsid w:val="00E84EEA"/>
    <w:rsid w:val="00E87633"/>
    <w:rsid w:val="00E87D8E"/>
    <w:rsid w:val="00E917EB"/>
    <w:rsid w:val="00E92B40"/>
    <w:rsid w:val="00E92CC9"/>
    <w:rsid w:val="00E93905"/>
    <w:rsid w:val="00E94FF5"/>
    <w:rsid w:val="00E96D47"/>
    <w:rsid w:val="00EA0489"/>
    <w:rsid w:val="00EA3207"/>
    <w:rsid w:val="00EA3579"/>
    <w:rsid w:val="00EA5F2E"/>
    <w:rsid w:val="00EA7CB7"/>
    <w:rsid w:val="00EB090B"/>
    <w:rsid w:val="00EB0F6E"/>
    <w:rsid w:val="00EB1FFC"/>
    <w:rsid w:val="00EC160C"/>
    <w:rsid w:val="00EC3DB6"/>
    <w:rsid w:val="00EC49E0"/>
    <w:rsid w:val="00EC5E28"/>
    <w:rsid w:val="00EC6362"/>
    <w:rsid w:val="00EC647A"/>
    <w:rsid w:val="00EC7196"/>
    <w:rsid w:val="00ED1CB2"/>
    <w:rsid w:val="00ED2287"/>
    <w:rsid w:val="00ED3316"/>
    <w:rsid w:val="00ED3912"/>
    <w:rsid w:val="00ED739F"/>
    <w:rsid w:val="00ED79F4"/>
    <w:rsid w:val="00EE051C"/>
    <w:rsid w:val="00EE23C8"/>
    <w:rsid w:val="00EE3CF3"/>
    <w:rsid w:val="00EE7FFC"/>
    <w:rsid w:val="00EF30E6"/>
    <w:rsid w:val="00EF4FC1"/>
    <w:rsid w:val="00EF65D2"/>
    <w:rsid w:val="00EF738C"/>
    <w:rsid w:val="00F01C32"/>
    <w:rsid w:val="00F03FD8"/>
    <w:rsid w:val="00F05407"/>
    <w:rsid w:val="00F05867"/>
    <w:rsid w:val="00F05AF9"/>
    <w:rsid w:val="00F066F1"/>
    <w:rsid w:val="00F06EC8"/>
    <w:rsid w:val="00F07A30"/>
    <w:rsid w:val="00F10301"/>
    <w:rsid w:val="00F10E21"/>
    <w:rsid w:val="00F11408"/>
    <w:rsid w:val="00F1164B"/>
    <w:rsid w:val="00F13904"/>
    <w:rsid w:val="00F14ADA"/>
    <w:rsid w:val="00F16A80"/>
    <w:rsid w:val="00F16EC7"/>
    <w:rsid w:val="00F26D02"/>
    <w:rsid w:val="00F33312"/>
    <w:rsid w:val="00F356A3"/>
    <w:rsid w:val="00F371D3"/>
    <w:rsid w:val="00F37904"/>
    <w:rsid w:val="00F43F4F"/>
    <w:rsid w:val="00F44686"/>
    <w:rsid w:val="00F47ABD"/>
    <w:rsid w:val="00F5687C"/>
    <w:rsid w:val="00F60D80"/>
    <w:rsid w:val="00F623F8"/>
    <w:rsid w:val="00F6319C"/>
    <w:rsid w:val="00F642A4"/>
    <w:rsid w:val="00F65498"/>
    <w:rsid w:val="00F665DC"/>
    <w:rsid w:val="00F67139"/>
    <w:rsid w:val="00F67468"/>
    <w:rsid w:val="00F72200"/>
    <w:rsid w:val="00F722B0"/>
    <w:rsid w:val="00F74339"/>
    <w:rsid w:val="00F775B4"/>
    <w:rsid w:val="00F80A65"/>
    <w:rsid w:val="00F8213C"/>
    <w:rsid w:val="00F840DC"/>
    <w:rsid w:val="00F8538B"/>
    <w:rsid w:val="00F86E1A"/>
    <w:rsid w:val="00F90841"/>
    <w:rsid w:val="00F92628"/>
    <w:rsid w:val="00F92E24"/>
    <w:rsid w:val="00F94162"/>
    <w:rsid w:val="00F94514"/>
    <w:rsid w:val="00F94F79"/>
    <w:rsid w:val="00F959C9"/>
    <w:rsid w:val="00F96975"/>
    <w:rsid w:val="00F96BFE"/>
    <w:rsid w:val="00F97412"/>
    <w:rsid w:val="00FA0F07"/>
    <w:rsid w:val="00FA14F9"/>
    <w:rsid w:val="00FA5536"/>
    <w:rsid w:val="00FA6646"/>
    <w:rsid w:val="00FA6C9D"/>
    <w:rsid w:val="00FB0614"/>
    <w:rsid w:val="00FB0EE3"/>
    <w:rsid w:val="00FB14BD"/>
    <w:rsid w:val="00FB1DBA"/>
    <w:rsid w:val="00FB2601"/>
    <w:rsid w:val="00FB2860"/>
    <w:rsid w:val="00FB3483"/>
    <w:rsid w:val="00FB3AB3"/>
    <w:rsid w:val="00FB4C4B"/>
    <w:rsid w:val="00FB661E"/>
    <w:rsid w:val="00FB6AB9"/>
    <w:rsid w:val="00FB7D03"/>
    <w:rsid w:val="00FC0908"/>
    <w:rsid w:val="00FC325A"/>
    <w:rsid w:val="00FC4847"/>
    <w:rsid w:val="00FC4C10"/>
    <w:rsid w:val="00FC4F74"/>
    <w:rsid w:val="00FC59DC"/>
    <w:rsid w:val="00FC5E1A"/>
    <w:rsid w:val="00FC7634"/>
    <w:rsid w:val="00FD0646"/>
    <w:rsid w:val="00FD3F71"/>
    <w:rsid w:val="00FD4F59"/>
    <w:rsid w:val="00FD57B3"/>
    <w:rsid w:val="00FD59E3"/>
    <w:rsid w:val="00FD68D2"/>
    <w:rsid w:val="00FE2814"/>
    <w:rsid w:val="00FE28E8"/>
    <w:rsid w:val="00FE28F6"/>
    <w:rsid w:val="00FE3BF4"/>
    <w:rsid w:val="00FE3D10"/>
    <w:rsid w:val="00FE5E1F"/>
    <w:rsid w:val="00FE7C17"/>
    <w:rsid w:val="00FF0394"/>
    <w:rsid w:val="00FF076F"/>
    <w:rsid w:val="00FF0C9A"/>
    <w:rsid w:val="00FF0E37"/>
    <w:rsid w:val="00FF1A8A"/>
    <w:rsid w:val="00FF26B3"/>
    <w:rsid w:val="00FF2876"/>
    <w:rsid w:val="00FF2B83"/>
    <w:rsid w:val="00FF38AE"/>
    <w:rsid w:val="00FF3FD6"/>
    <w:rsid w:val="00FF49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7" type="connector" idref="#_x0000_s1043"/>
        <o:r id="V:Rule8" type="connector" idref="#_x0000_s1030"/>
        <o:r id="V:Rule9" type="connector" idref="#_x0000_s1037"/>
        <o:r id="V:Rule10" type="connector" idref="#_x0000_s1042"/>
        <o:r id="V:Rule11" type="connector" idref="#_x0000_s1031"/>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0C9A"/>
    <w:pPr>
      <w:spacing w:after="200" w:line="276" w:lineRule="auto"/>
    </w:pPr>
    <w:rPr>
      <w:rFonts w:asciiTheme="minorHAnsi" w:eastAsiaTheme="minorHAnsi" w:hAnsiTheme="minorHAnsi" w:cstheme="minorBidi"/>
      <w:lang w:eastAsia="en-US"/>
    </w:rPr>
  </w:style>
  <w:style w:type="paragraph" w:styleId="Cmsor1">
    <w:name w:val="heading 1"/>
    <w:basedOn w:val="Norml"/>
    <w:next w:val="Norml"/>
    <w:link w:val="Cmsor1Char"/>
    <w:uiPriority w:val="9"/>
    <w:qFormat/>
    <w:rsid w:val="00797906"/>
    <w:pPr>
      <w:keepNext/>
      <w:keepLines/>
      <w:numPr>
        <w:numId w:val="1"/>
      </w:numPr>
      <w:spacing w:before="480" w:after="0"/>
      <w:outlineLvl w:val="0"/>
    </w:pPr>
    <w:rPr>
      <w:rFonts w:ascii="Times New Roman" w:eastAsia="Times New Roman" w:hAnsi="Times New Roman" w:cs="Times New Roman"/>
      <w:b/>
      <w:bCs/>
      <w:sz w:val="28"/>
      <w:szCs w:val="28"/>
    </w:rPr>
  </w:style>
  <w:style w:type="paragraph" w:styleId="Cmsor2">
    <w:name w:val="heading 2"/>
    <w:basedOn w:val="Norml"/>
    <w:next w:val="Norml"/>
    <w:link w:val="Cmsor2Char"/>
    <w:uiPriority w:val="9"/>
    <w:qFormat/>
    <w:rsid w:val="00797906"/>
    <w:pPr>
      <w:keepNext/>
      <w:keepLines/>
      <w:numPr>
        <w:ilvl w:val="1"/>
        <w:numId w:val="1"/>
      </w:numPr>
      <w:spacing w:before="200" w:after="0"/>
      <w:outlineLvl w:val="1"/>
    </w:pPr>
    <w:rPr>
      <w:rFonts w:ascii="Times New Roman" w:eastAsia="Times New Roman" w:hAnsi="Times New Roman" w:cs="Times New Roman"/>
      <w:b/>
      <w:bCs/>
      <w:sz w:val="28"/>
      <w:szCs w:val="26"/>
    </w:rPr>
  </w:style>
  <w:style w:type="paragraph" w:styleId="Cmsor3">
    <w:name w:val="heading 3"/>
    <w:basedOn w:val="Norml"/>
    <w:next w:val="Norml"/>
    <w:link w:val="Cmsor3Char"/>
    <w:uiPriority w:val="9"/>
    <w:qFormat/>
    <w:rsid w:val="00797906"/>
    <w:pPr>
      <w:keepNext/>
      <w:keepLines/>
      <w:numPr>
        <w:ilvl w:val="2"/>
        <w:numId w:val="1"/>
      </w:numPr>
      <w:spacing w:before="200" w:after="0"/>
      <w:outlineLvl w:val="2"/>
    </w:pPr>
    <w:rPr>
      <w:rFonts w:ascii="Times New Roman" w:eastAsia="Times New Roman" w:hAnsi="Times New Roman" w:cs="Times New Roman"/>
      <w:b/>
      <w:bCs/>
      <w:sz w:val="24"/>
    </w:rPr>
  </w:style>
  <w:style w:type="paragraph" w:styleId="Cmsor4">
    <w:name w:val="heading 4"/>
    <w:aliases w:val="Level 2 - a,Level 2 - a1,Level 2 - a2,Level 2 - a11,Level 2 - a3,Level 2 - a4,Level 2 - a5,Level 2 - a6,Level 2 - a12,Level 2 - a21,Level 2 - a31,Level 2 - a41,Level 2 - a51,Level 2 - a7,Level 2 - a13,Level 2 - a22,Level 2 - a32,Level 2 - a42"/>
    <w:basedOn w:val="Norml"/>
    <w:next w:val="Norml"/>
    <w:link w:val="Cmsor4Char"/>
    <w:uiPriority w:val="9"/>
    <w:qFormat/>
    <w:rsid w:val="00797906"/>
    <w:pPr>
      <w:keepNext/>
      <w:keepLines/>
      <w:numPr>
        <w:ilvl w:val="3"/>
        <w:numId w:val="1"/>
      </w:numPr>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
    <w:qFormat/>
    <w:rsid w:val="00797906"/>
    <w:pPr>
      <w:keepNext/>
      <w:keepLines/>
      <w:numPr>
        <w:ilvl w:val="4"/>
        <w:numId w:val="1"/>
      </w:numPr>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
    <w:qFormat/>
    <w:rsid w:val="00797906"/>
    <w:pPr>
      <w:keepNext/>
      <w:keepLines/>
      <w:numPr>
        <w:ilvl w:val="5"/>
        <w:numId w:val="1"/>
      </w:numPr>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
    <w:qFormat/>
    <w:rsid w:val="00797906"/>
    <w:pPr>
      <w:keepNext/>
      <w:keepLines/>
      <w:numPr>
        <w:ilvl w:val="6"/>
        <w:numId w:val="1"/>
      </w:numPr>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
    <w:qFormat/>
    <w:rsid w:val="00797906"/>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Cmsor9">
    <w:name w:val="heading 9"/>
    <w:basedOn w:val="Norml"/>
    <w:next w:val="Norml"/>
    <w:link w:val="Cmsor9Char"/>
    <w:uiPriority w:val="9"/>
    <w:qFormat/>
    <w:rsid w:val="00797906"/>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7906"/>
    <w:rPr>
      <w:rFonts w:ascii="Times New Roman" w:eastAsia="Times New Roman" w:hAnsi="Times New Roman" w:cs="Times New Roman"/>
      <w:b/>
      <w:bCs/>
      <w:sz w:val="28"/>
      <w:szCs w:val="28"/>
      <w:lang w:eastAsia="en-US"/>
    </w:rPr>
  </w:style>
  <w:style w:type="character" w:customStyle="1" w:styleId="Cmsor2Char">
    <w:name w:val="Címsor 2 Char"/>
    <w:basedOn w:val="Bekezdsalapbettpusa"/>
    <w:link w:val="Cmsor2"/>
    <w:uiPriority w:val="9"/>
    <w:rsid w:val="00797906"/>
    <w:rPr>
      <w:rFonts w:ascii="Times New Roman" w:eastAsia="Times New Roman" w:hAnsi="Times New Roman" w:cs="Times New Roman"/>
      <w:b/>
      <w:bCs/>
      <w:sz w:val="28"/>
      <w:szCs w:val="26"/>
      <w:lang w:eastAsia="en-US"/>
    </w:rPr>
  </w:style>
  <w:style w:type="character" w:customStyle="1" w:styleId="Cmsor3Char">
    <w:name w:val="Címsor 3 Char"/>
    <w:basedOn w:val="Bekezdsalapbettpusa"/>
    <w:link w:val="Cmsor3"/>
    <w:uiPriority w:val="9"/>
    <w:rsid w:val="00797906"/>
    <w:rPr>
      <w:rFonts w:ascii="Times New Roman" w:eastAsia="Times New Roman" w:hAnsi="Times New Roman" w:cs="Times New Roman"/>
      <w:b/>
      <w:bCs/>
      <w:sz w:val="24"/>
      <w:lang w:eastAsia="en-US"/>
    </w:rPr>
  </w:style>
  <w:style w:type="character" w:customStyle="1" w:styleId="Cmsor4Char">
    <w:name w:val="Címsor 4 Char"/>
    <w:aliases w:val="Level 2 - a Char,Level 2 - a1 Char,Level 2 - a2 Char,Level 2 - a11 Char,Level 2 - a3 Char,Level 2 - a4 Char,Level 2 - a5 Char,Level 2 - a6 Char,Level 2 - a12 Char,Level 2 - a21 Char,Level 2 - a31 Char,Level 2 - a41 Char,Level 2 - a51 Char"/>
    <w:basedOn w:val="Bekezdsalapbettpusa"/>
    <w:link w:val="Cmsor4"/>
    <w:uiPriority w:val="9"/>
    <w:rsid w:val="00797906"/>
    <w:rPr>
      <w:rFonts w:ascii="Cambria" w:eastAsia="Times New Roman" w:hAnsi="Cambria" w:cs="Times New Roman"/>
      <w:b/>
      <w:bCs/>
      <w:i/>
      <w:iCs/>
      <w:color w:val="4F81BD"/>
      <w:lang w:eastAsia="en-US"/>
    </w:rPr>
  </w:style>
  <w:style w:type="character" w:customStyle="1" w:styleId="Cmsor5Char">
    <w:name w:val="Címsor 5 Char"/>
    <w:basedOn w:val="Bekezdsalapbettpusa"/>
    <w:link w:val="Cmsor5"/>
    <w:uiPriority w:val="9"/>
    <w:rsid w:val="00797906"/>
    <w:rPr>
      <w:rFonts w:ascii="Cambria" w:eastAsia="Times New Roman" w:hAnsi="Cambria" w:cs="Times New Roman"/>
      <w:color w:val="243F60"/>
      <w:lang w:eastAsia="en-US"/>
    </w:rPr>
  </w:style>
  <w:style w:type="character" w:customStyle="1" w:styleId="Cmsor6Char">
    <w:name w:val="Címsor 6 Char"/>
    <w:basedOn w:val="Bekezdsalapbettpusa"/>
    <w:link w:val="Cmsor6"/>
    <w:uiPriority w:val="9"/>
    <w:rsid w:val="00797906"/>
    <w:rPr>
      <w:rFonts w:ascii="Cambria" w:eastAsia="Times New Roman" w:hAnsi="Cambria" w:cs="Times New Roman"/>
      <w:i/>
      <w:iCs/>
      <w:color w:val="243F60"/>
      <w:lang w:eastAsia="en-US"/>
    </w:rPr>
  </w:style>
  <w:style w:type="character" w:customStyle="1" w:styleId="Cmsor7Char">
    <w:name w:val="Címsor 7 Char"/>
    <w:basedOn w:val="Bekezdsalapbettpusa"/>
    <w:link w:val="Cmsor7"/>
    <w:uiPriority w:val="9"/>
    <w:rsid w:val="00797906"/>
    <w:rPr>
      <w:rFonts w:ascii="Cambria" w:eastAsia="Times New Roman" w:hAnsi="Cambria" w:cs="Times New Roman"/>
      <w:i/>
      <w:iCs/>
      <w:color w:val="404040"/>
      <w:lang w:eastAsia="en-US"/>
    </w:rPr>
  </w:style>
  <w:style w:type="character" w:customStyle="1" w:styleId="Cmsor8Char">
    <w:name w:val="Címsor 8 Char"/>
    <w:basedOn w:val="Bekezdsalapbettpusa"/>
    <w:link w:val="Cmsor8"/>
    <w:uiPriority w:val="9"/>
    <w:rsid w:val="00797906"/>
    <w:rPr>
      <w:rFonts w:ascii="Cambria" w:eastAsia="Times New Roman" w:hAnsi="Cambria" w:cs="Times New Roman"/>
      <w:color w:val="404040"/>
      <w:sz w:val="20"/>
      <w:szCs w:val="20"/>
      <w:lang w:eastAsia="en-US"/>
    </w:rPr>
  </w:style>
  <w:style w:type="character" w:customStyle="1" w:styleId="Cmsor9Char">
    <w:name w:val="Címsor 9 Char"/>
    <w:basedOn w:val="Bekezdsalapbettpusa"/>
    <w:link w:val="Cmsor9"/>
    <w:uiPriority w:val="9"/>
    <w:rsid w:val="00797906"/>
    <w:rPr>
      <w:rFonts w:ascii="Cambria" w:eastAsia="Times New Roman" w:hAnsi="Cambria" w:cs="Times New Roman"/>
      <w:i/>
      <w:iCs/>
      <w:color w:val="404040"/>
      <w:sz w:val="20"/>
      <w:szCs w:val="20"/>
      <w:lang w:eastAsia="en-US"/>
    </w:rPr>
  </w:style>
  <w:style w:type="paragraph" w:styleId="Kpalrs">
    <w:name w:val="caption"/>
    <w:basedOn w:val="Norml"/>
    <w:next w:val="Norml"/>
    <w:uiPriority w:val="35"/>
    <w:unhideWhenUsed/>
    <w:qFormat/>
    <w:rsid w:val="00797906"/>
    <w:pPr>
      <w:spacing w:line="240" w:lineRule="auto"/>
    </w:pPr>
    <w:rPr>
      <w:rFonts w:ascii="Times New Roman" w:hAnsi="Times New Roman" w:cstheme="minorHAnsi"/>
      <w:bCs/>
      <w:sz w:val="20"/>
      <w:szCs w:val="18"/>
    </w:rPr>
  </w:style>
  <w:style w:type="paragraph" w:styleId="Cm">
    <w:name w:val="Title"/>
    <w:basedOn w:val="Norml"/>
    <w:link w:val="CmChar"/>
    <w:uiPriority w:val="10"/>
    <w:qFormat/>
    <w:rsid w:val="00797906"/>
    <w:pPr>
      <w:spacing w:before="240" w:after="60" w:line="240" w:lineRule="auto"/>
      <w:jc w:val="center"/>
    </w:pPr>
    <w:rPr>
      <w:rFonts w:ascii="Arial" w:eastAsia="Times New Roman" w:hAnsi="Arial" w:cs="Times New Roman"/>
      <w:b/>
      <w:kern w:val="28"/>
      <w:sz w:val="32"/>
      <w:szCs w:val="20"/>
      <w:lang w:eastAsia="hu-HU"/>
    </w:rPr>
  </w:style>
  <w:style w:type="character" w:customStyle="1" w:styleId="CmChar">
    <w:name w:val="Cím Char"/>
    <w:basedOn w:val="Bekezdsalapbettpusa"/>
    <w:link w:val="Cm"/>
    <w:uiPriority w:val="10"/>
    <w:rsid w:val="00797906"/>
    <w:rPr>
      <w:rFonts w:ascii="Arial" w:eastAsia="Times New Roman" w:hAnsi="Arial" w:cs="Times New Roman"/>
      <w:b/>
      <w:kern w:val="28"/>
      <w:sz w:val="32"/>
      <w:szCs w:val="20"/>
    </w:rPr>
  </w:style>
  <w:style w:type="paragraph" w:styleId="Alcm">
    <w:name w:val="Subtitle"/>
    <w:basedOn w:val="Norml"/>
    <w:link w:val="AlcmChar"/>
    <w:uiPriority w:val="11"/>
    <w:qFormat/>
    <w:rsid w:val="00797906"/>
    <w:pPr>
      <w:spacing w:after="0" w:line="240" w:lineRule="auto"/>
      <w:ind w:right="18"/>
      <w:jc w:val="both"/>
    </w:pPr>
    <w:rPr>
      <w:rFonts w:ascii="Times New Roman" w:hAnsi="Times New Roman" w:cs="Times New Roman"/>
      <w:b/>
      <w:bCs/>
      <w:sz w:val="24"/>
      <w:szCs w:val="24"/>
      <w:lang w:eastAsia="hu-HU"/>
    </w:rPr>
  </w:style>
  <w:style w:type="character" w:customStyle="1" w:styleId="AlcmChar">
    <w:name w:val="Alcím Char"/>
    <w:basedOn w:val="Bekezdsalapbettpusa"/>
    <w:link w:val="Alcm"/>
    <w:uiPriority w:val="11"/>
    <w:rsid w:val="00797906"/>
    <w:rPr>
      <w:rFonts w:ascii="Times New Roman" w:hAnsi="Times New Roman" w:cs="Times New Roman"/>
      <w:b/>
      <w:bCs/>
      <w:sz w:val="24"/>
      <w:szCs w:val="24"/>
    </w:rPr>
  </w:style>
  <w:style w:type="paragraph" w:styleId="Listaszerbekezds">
    <w:name w:val="List Paragraph"/>
    <w:basedOn w:val="Norml"/>
    <w:uiPriority w:val="34"/>
    <w:qFormat/>
    <w:rsid w:val="00797906"/>
    <w:pPr>
      <w:ind w:left="720"/>
      <w:contextualSpacing/>
    </w:pPr>
  </w:style>
  <w:style w:type="paragraph" w:styleId="Tartalomjegyzkcmsora">
    <w:name w:val="TOC Heading"/>
    <w:basedOn w:val="Cmsor1"/>
    <w:next w:val="Norml"/>
    <w:uiPriority w:val="39"/>
    <w:qFormat/>
    <w:rsid w:val="00797906"/>
    <w:pPr>
      <w:numPr>
        <w:numId w:val="0"/>
      </w:numPr>
      <w:outlineLvl w:val="9"/>
    </w:pPr>
    <w:rPr>
      <w:rFonts w:ascii="Cambria" w:hAnsi="Cambria"/>
      <w:color w:val="365F91"/>
      <w:lang w:eastAsia="hu-HU"/>
    </w:rPr>
  </w:style>
  <w:style w:type="character" w:styleId="Kiemels2">
    <w:name w:val="Strong"/>
    <w:uiPriority w:val="22"/>
    <w:qFormat/>
    <w:locked/>
    <w:rsid w:val="00FF0C9A"/>
    <w:rPr>
      <w:b/>
      <w:bCs/>
    </w:rPr>
  </w:style>
  <w:style w:type="character" w:styleId="Kiemels">
    <w:name w:val="Emphasis"/>
    <w:uiPriority w:val="20"/>
    <w:qFormat/>
    <w:locked/>
    <w:rsid w:val="00FF0C9A"/>
    <w:rPr>
      <w:b/>
      <w:bCs/>
      <w:i/>
      <w:iCs/>
      <w:spacing w:val="10"/>
      <w:bdr w:val="none" w:sz="0" w:space="0" w:color="auto"/>
      <w:shd w:val="clear" w:color="auto" w:fill="auto"/>
    </w:rPr>
  </w:style>
  <w:style w:type="paragraph" w:styleId="Nincstrkz">
    <w:name w:val="No Spacing"/>
    <w:basedOn w:val="Norml"/>
    <w:uiPriority w:val="1"/>
    <w:qFormat/>
    <w:rsid w:val="00FF0C9A"/>
    <w:pPr>
      <w:spacing w:after="0" w:line="240" w:lineRule="auto"/>
    </w:pPr>
  </w:style>
  <w:style w:type="paragraph" w:styleId="Idzet">
    <w:name w:val="Quote"/>
    <w:basedOn w:val="Norml"/>
    <w:next w:val="Norml"/>
    <w:link w:val="IdzetChar"/>
    <w:uiPriority w:val="29"/>
    <w:qFormat/>
    <w:rsid w:val="00FF0C9A"/>
    <w:pPr>
      <w:spacing w:before="200" w:after="0"/>
      <w:ind w:left="360" w:right="360"/>
    </w:pPr>
    <w:rPr>
      <w:i/>
      <w:iCs/>
    </w:rPr>
  </w:style>
  <w:style w:type="character" w:customStyle="1" w:styleId="IdzetChar">
    <w:name w:val="Idézet Char"/>
    <w:basedOn w:val="Bekezdsalapbettpusa"/>
    <w:link w:val="Idzet"/>
    <w:uiPriority w:val="29"/>
    <w:rsid w:val="00FF0C9A"/>
    <w:rPr>
      <w:rFonts w:asciiTheme="minorHAnsi" w:eastAsiaTheme="minorHAnsi" w:hAnsiTheme="minorHAnsi" w:cstheme="minorBidi"/>
      <w:i/>
      <w:iCs/>
      <w:lang w:eastAsia="en-US"/>
    </w:rPr>
  </w:style>
  <w:style w:type="paragraph" w:styleId="Kiemeltidzet">
    <w:name w:val="Intense Quote"/>
    <w:basedOn w:val="Norml"/>
    <w:next w:val="Norml"/>
    <w:link w:val="KiemeltidzetChar"/>
    <w:uiPriority w:val="30"/>
    <w:qFormat/>
    <w:rsid w:val="00FF0C9A"/>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F0C9A"/>
    <w:rPr>
      <w:rFonts w:asciiTheme="minorHAnsi" w:eastAsiaTheme="minorHAnsi" w:hAnsiTheme="minorHAnsi" w:cstheme="minorBidi"/>
      <w:b/>
      <w:bCs/>
      <w:i/>
      <w:iCs/>
      <w:lang w:eastAsia="en-US"/>
    </w:rPr>
  </w:style>
  <w:style w:type="character" w:styleId="Finomkiemels">
    <w:name w:val="Subtle Emphasis"/>
    <w:uiPriority w:val="19"/>
    <w:qFormat/>
    <w:rsid w:val="00FF0C9A"/>
    <w:rPr>
      <w:i/>
      <w:iCs/>
    </w:rPr>
  </w:style>
  <w:style w:type="character" w:styleId="Ershangslyozs">
    <w:name w:val="Intense Emphasis"/>
    <w:uiPriority w:val="21"/>
    <w:qFormat/>
    <w:rsid w:val="00FF0C9A"/>
    <w:rPr>
      <w:b/>
      <w:bCs/>
    </w:rPr>
  </w:style>
  <w:style w:type="character" w:styleId="Finomhivatkozs">
    <w:name w:val="Subtle Reference"/>
    <w:uiPriority w:val="31"/>
    <w:qFormat/>
    <w:rsid w:val="00FF0C9A"/>
    <w:rPr>
      <w:smallCaps/>
    </w:rPr>
  </w:style>
  <w:style w:type="character" w:styleId="Ershivatkozs">
    <w:name w:val="Intense Reference"/>
    <w:uiPriority w:val="32"/>
    <w:qFormat/>
    <w:rsid w:val="00FF0C9A"/>
    <w:rPr>
      <w:smallCaps/>
      <w:spacing w:val="5"/>
      <w:u w:val="single"/>
    </w:rPr>
  </w:style>
  <w:style w:type="character" w:styleId="Knyvcme">
    <w:name w:val="Book Title"/>
    <w:uiPriority w:val="33"/>
    <w:qFormat/>
    <w:rsid w:val="00FF0C9A"/>
    <w:rPr>
      <w:i/>
      <w:iCs/>
      <w:smallCaps/>
      <w:spacing w:val="5"/>
    </w:rPr>
  </w:style>
  <w:style w:type="paragraph" w:styleId="Buborkszveg">
    <w:name w:val="Balloon Text"/>
    <w:basedOn w:val="Norml"/>
    <w:link w:val="BuborkszvegChar"/>
    <w:uiPriority w:val="99"/>
    <w:semiHidden/>
    <w:unhideWhenUsed/>
    <w:rsid w:val="00FF0C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F0C9A"/>
    <w:rPr>
      <w:rFonts w:ascii="Tahoma" w:eastAsiaTheme="minorHAnsi" w:hAnsi="Tahoma" w:cs="Tahoma"/>
      <w:sz w:val="16"/>
      <w:szCs w:val="16"/>
      <w:lang w:eastAsia="en-US"/>
    </w:rPr>
  </w:style>
  <w:style w:type="character" w:styleId="Hiperhivatkozs">
    <w:name w:val="Hyperlink"/>
    <w:basedOn w:val="Bekezdsalapbettpusa"/>
    <w:uiPriority w:val="99"/>
    <w:unhideWhenUsed/>
    <w:rsid w:val="00FF0C9A"/>
    <w:rPr>
      <w:color w:val="0000FF" w:themeColor="hyperlink"/>
      <w:u w:val="single"/>
    </w:rPr>
  </w:style>
  <w:style w:type="character" w:customStyle="1" w:styleId="lfejChar">
    <w:name w:val="Élőfej Char"/>
    <w:basedOn w:val="Bekezdsalapbettpusa"/>
    <w:link w:val="lfej"/>
    <w:uiPriority w:val="99"/>
    <w:semiHidden/>
    <w:rsid w:val="00FF0C9A"/>
    <w:rPr>
      <w:rFonts w:asciiTheme="minorHAnsi" w:eastAsiaTheme="minorHAnsi" w:hAnsiTheme="minorHAnsi" w:cstheme="minorBidi"/>
      <w:lang w:eastAsia="en-US"/>
    </w:rPr>
  </w:style>
  <w:style w:type="paragraph" w:styleId="lfej">
    <w:name w:val="header"/>
    <w:basedOn w:val="Norml"/>
    <w:link w:val="lfejChar"/>
    <w:uiPriority w:val="99"/>
    <w:semiHidden/>
    <w:unhideWhenUsed/>
    <w:rsid w:val="00FF0C9A"/>
    <w:pPr>
      <w:tabs>
        <w:tab w:val="center" w:pos="4536"/>
        <w:tab w:val="right" w:pos="9072"/>
      </w:tabs>
      <w:spacing w:after="0" w:line="240" w:lineRule="auto"/>
    </w:pPr>
  </w:style>
  <w:style w:type="paragraph" w:styleId="llb">
    <w:name w:val="footer"/>
    <w:basedOn w:val="Norml"/>
    <w:link w:val="llbChar"/>
    <w:uiPriority w:val="99"/>
    <w:unhideWhenUsed/>
    <w:rsid w:val="00FF0C9A"/>
    <w:pPr>
      <w:tabs>
        <w:tab w:val="center" w:pos="4536"/>
        <w:tab w:val="right" w:pos="9072"/>
      </w:tabs>
      <w:spacing w:after="0" w:line="240" w:lineRule="auto"/>
    </w:pPr>
  </w:style>
  <w:style w:type="character" w:customStyle="1" w:styleId="llbChar">
    <w:name w:val="Élőláb Char"/>
    <w:basedOn w:val="Bekezdsalapbettpusa"/>
    <w:link w:val="llb"/>
    <w:uiPriority w:val="99"/>
    <w:rsid w:val="00FF0C9A"/>
    <w:rPr>
      <w:rFonts w:asciiTheme="minorHAnsi" w:eastAsiaTheme="minorHAnsi" w:hAnsiTheme="minorHAnsi" w:cstheme="minorBidi"/>
      <w:lang w:eastAsia="en-US"/>
    </w:rPr>
  </w:style>
  <w:style w:type="character" w:styleId="Lbjegyzet-hivatkozs">
    <w:name w:val="footnote reference"/>
    <w:aliases w:val="fr"/>
    <w:rsid w:val="00FF0C9A"/>
    <w:rPr>
      <w:vertAlign w:val="superscript"/>
    </w:rPr>
  </w:style>
  <w:style w:type="paragraph" w:styleId="Lbjegyzetszveg">
    <w:name w:val="footnote text"/>
    <w:basedOn w:val="Norml"/>
    <w:link w:val="LbjegyzetszvegChar"/>
    <w:uiPriority w:val="99"/>
    <w:semiHidden/>
    <w:unhideWhenUsed/>
    <w:rsid w:val="00FF0C9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F0C9A"/>
    <w:rPr>
      <w:rFonts w:asciiTheme="minorHAnsi" w:eastAsiaTheme="minorHAnsi" w:hAnsiTheme="minorHAnsi" w:cstheme="minorBidi"/>
      <w:sz w:val="20"/>
      <w:szCs w:val="20"/>
      <w:lang w:eastAsia="en-US"/>
    </w:rPr>
  </w:style>
  <w:style w:type="paragraph" w:customStyle="1" w:styleId="Default">
    <w:name w:val="Default"/>
    <w:rsid w:val="00FF0C9A"/>
    <w:pPr>
      <w:autoSpaceDE w:val="0"/>
      <w:autoSpaceDN w:val="0"/>
      <w:adjustRightInd w:val="0"/>
    </w:pPr>
    <w:rPr>
      <w:rFonts w:ascii="Times New Roman" w:eastAsiaTheme="minorHAnsi" w:hAnsi="Times New Roman" w:cs="Times New Roman"/>
      <w:color w:val="000000"/>
      <w:sz w:val="24"/>
      <w:szCs w:val="24"/>
      <w:lang w:eastAsia="en-US"/>
    </w:rPr>
  </w:style>
  <w:style w:type="table" w:customStyle="1" w:styleId="Kzepesrcs31">
    <w:name w:val="Közepes rács 31"/>
    <w:basedOn w:val="Normltblzat"/>
    <w:uiPriority w:val="69"/>
    <w:rsid w:val="00FF0C9A"/>
    <w:rPr>
      <w:rFonts w:asciiTheme="minorHAnsi" w:eastAsiaTheme="minorHAnsi" w:hAnsiTheme="minorHAnsi" w:cstheme="minorBidi"/>
      <w:lang w:val="en-US" w:eastAsia="en-US"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Vilgosrcs1">
    <w:name w:val="Világos rács1"/>
    <w:basedOn w:val="Normltblzat"/>
    <w:uiPriority w:val="62"/>
    <w:rsid w:val="00FF0C9A"/>
    <w:rPr>
      <w:rFonts w:asciiTheme="minorHAnsi" w:eastAsiaTheme="minorHAnsi" w:hAnsiTheme="minorHAnsi" w:cstheme="minorBidi"/>
      <w:lang w:val="en-US" w:eastAsia="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l2br w:val="nil"/>
          <w:tr2bl w:val="nil"/>
        </w:tcBorders>
        <w:shd w:val="clear" w:color="auto" w:fill="A6A6A6" w:themeFill="background1" w:themeFillShade="A6"/>
      </w:tcPr>
    </w:tblStylePr>
    <w:tblStylePr w:type="lastRow">
      <w:pPr>
        <w:spacing w:before="0" w:after="0" w:line="240" w:lineRule="auto"/>
      </w:pPr>
      <w:rPr>
        <w:rFonts w:asciiTheme="majorHAnsi" w:eastAsiaTheme="majorEastAsia" w:hAnsiTheme="majorHAnsi" w:cstheme="majorBidi"/>
        <w:b/>
        <w:bCs/>
      </w:rPr>
      <w:tblPr/>
      <w:tcPr>
        <w:shd w:val="clear" w:color="auto" w:fill="F2F2F2" w:themeFill="background1" w:themeFillShade="F2"/>
      </w:tcPr>
    </w:tblStylePr>
    <w:tblStylePr w:type="firstCol">
      <w:rPr>
        <w:rFonts w:asciiTheme="majorHAnsi" w:eastAsiaTheme="majorEastAsia" w:hAnsiTheme="majorHAnsi" w:cstheme="majorBidi"/>
        <w:b/>
        <w:bCs/>
      </w:rPr>
    </w:tblStylePr>
    <w:tblStylePr w:type="lastCol">
      <w:pPr>
        <w:jc w:val="center"/>
      </w:pPr>
      <w:rPr>
        <w:rFonts w:asciiTheme="minorHAnsi" w:eastAsiaTheme="majorEastAsia" w:hAnsiTheme="min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table" w:customStyle="1" w:styleId="Kzepesrnykols21">
    <w:name w:val="Közepes árnyékolás 21"/>
    <w:basedOn w:val="Normltblzat"/>
    <w:uiPriority w:val="64"/>
    <w:rsid w:val="00FF0C9A"/>
    <w:rPr>
      <w:rFonts w:asciiTheme="minorHAnsi" w:eastAsiaTheme="minorHAnsi" w:hAnsiTheme="minorHAnsi" w:cstheme="minorBidi"/>
      <w:lang w:val="en-US" w:eastAsia="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l2br w:val="nil"/>
          <w:tr2bl w:val="nil"/>
        </w:tcBorders>
        <w:shd w:val="clear" w:color="auto" w:fill="7F7F7F" w:themeFill="text1" w:themeFillTint="80"/>
      </w:tcPr>
    </w:tblStylePr>
    <w:tblStylePr w:type="lastRow">
      <w:pPr>
        <w:spacing w:before="0" w:after="0" w:line="240" w:lineRule="auto"/>
      </w:pPr>
      <w:rPr>
        <w:color w:val="auto"/>
      </w:rPr>
      <w:tblPr/>
      <w:tcPr>
        <w:tcBorders>
          <w:top w:val="nil"/>
          <w:left w:val="single" w:sz="8" w:space="0" w:color="auto"/>
          <w:bottom w:val="single" w:sz="8" w:space="0" w:color="auto"/>
          <w:right w:val="single" w:sz="8" w:space="0" w:color="auto"/>
          <w:insideH w:val="nil"/>
          <w:insideV w:val="nil"/>
        </w:tcBorders>
        <w:shd w:val="clear" w:color="auto" w:fill="FFFFFF" w:themeFill="background1"/>
      </w:tcPr>
    </w:tblStylePr>
    <w:tblStylePr w:type="firstCol">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18" w:space="0" w:color="000000" w:themeColor="text1"/>
          <w:insideH w:val="nil"/>
          <w:insideV w:val="nil"/>
          <w:tl2br w:val="nil"/>
          <w:tr2bl w:val="nil"/>
        </w:tcBorders>
        <w:shd w:val="clear" w:color="auto" w:fill="7F7F7F" w:themeFill="text1" w:themeFillTint="80"/>
      </w:tcPr>
    </w:tblStylePr>
    <w:tblStylePr w:type="lastCol">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FFFFFF" w:themeFill="background1"/>
      </w:tcPr>
    </w:tblStylePr>
    <w:tblStylePr w:type="band1Vert">
      <w:tblPr/>
      <w:tcPr>
        <w:shd w:val="clear" w:color="auto" w:fill="FFFFFF" w:themeFill="background1"/>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FFFFF" w:themeFill="background1"/>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D9D9D9" w:themeFill="background1" w:themeFillShade="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J1">
    <w:name w:val="toc 1"/>
    <w:basedOn w:val="Norml"/>
    <w:next w:val="Norml"/>
    <w:autoRedefine/>
    <w:uiPriority w:val="39"/>
    <w:unhideWhenUsed/>
    <w:rsid w:val="00FF0C9A"/>
    <w:pPr>
      <w:tabs>
        <w:tab w:val="right" w:leader="dot" w:pos="9062"/>
      </w:tabs>
      <w:spacing w:after="60" w:line="240" w:lineRule="auto"/>
      <w:ind w:left="227" w:hanging="227"/>
    </w:pPr>
  </w:style>
  <w:style w:type="paragraph" w:styleId="TJ2">
    <w:name w:val="toc 2"/>
    <w:basedOn w:val="Norml"/>
    <w:next w:val="Norml"/>
    <w:autoRedefine/>
    <w:uiPriority w:val="39"/>
    <w:unhideWhenUsed/>
    <w:rsid w:val="00FF0C9A"/>
    <w:pPr>
      <w:numPr>
        <w:ilvl w:val="1"/>
        <w:numId w:val="61"/>
      </w:numPr>
      <w:tabs>
        <w:tab w:val="right" w:leader="dot" w:pos="9062"/>
      </w:tabs>
      <w:spacing w:after="60" w:line="240" w:lineRule="auto"/>
      <w:ind w:left="731" w:hanging="374"/>
    </w:pPr>
  </w:style>
  <w:style w:type="paragraph" w:styleId="TJ3">
    <w:name w:val="toc 3"/>
    <w:basedOn w:val="Norml"/>
    <w:next w:val="Norml"/>
    <w:autoRedefine/>
    <w:uiPriority w:val="39"/>
    <w:unhideWhenUsed/>
    <w:rsid w:val="00FF0C9A"/>
    <w:pPr>
      <w:numPr>
        <w:ilvl w:val="2"/>
        <w:numId w:val="61"/>
      </w:numPr>
      <w:tabs>
        <w:tab w:val="right" w:leader="dot" w:pos="9062"/>
      </w:tabs>
      <w:spacing w:after="60" w:line="240" w:lineRule="auto"/>
    </w:pPr>
  </w:style>
  <w:style w:type="paragraph" w:styleId="NormlWeb">
    <w:name w:val="Normal (Web)"/>
    <w:basedOn w:val="Norml"/>
    <w:uiPriority w:val="99"/>
    <w:rsid w:val="00FF0C9A"/>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xkss.com/devel/huHU/ifrskno/showtopicgroupview?topicName=T%C5%91keinstrumentum" TargetMode="External"/><Relationship Id="rId18" Type="http://schemas.openxmlformats.org/officeDocument/2006/relationships/hyperlink" Target="http://www.ey.com/Publication/vwLUAssets/Applying_IFRS:_Classification_of_financial_instruments_under_IFRS_9./$File/Apply-FI-May20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pmg.com/Global/en/IssuesAndInsights/ArticlesPublications/first-impressions/Documents/first-impressions-IFRS9.pdf" TargetMode="External"/><Relationship Id="rId7" Type="http://schemas.openxmlformats.org/officeDocument/2006/relationships/endnotes" Target="endnotes.xml"/><Relationship Id="rId12" Type="http://schemas.openxmlformats.org/officeDocument/2006/relationships/hyperlink" Target="http://exkss.com/devel/huHU/ifrskno/showtopicgroupview?topicName=P%C3%A9nz%C3%BCgyi%20instrumentum" TargetMode="External"/><Relationship Id="rId17" Type="http://schemas.openxmlformats.org/officeDocument/2006/relationships/hyperlink" Target="http://www.ey.com/Publication/vwLUAssets/Applying_IFRS:_Impairment_of_financial_instruments_under_IFRS_9/$FILE/Apply-FI-Dec201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y.com/Publication/vwLUAssets/EY-ifrs-developments-issue-86-july2014/$FILE/EY-ifrs-developments-issue-86-july2014.pdf" TargetMode="External"/><Relationship Id="rId20" Type="http://schemas.openxmlformats.org/officeDocument/2006/relationships/hyperlink" Target="http://phd.lib.uni-corvinus.hu/692/1/Kovacs_Daniel_Mate_dh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kss.com/devel/huHU/ifrskno/showtopicgroupview?topicName=P%C3%A9nz%C3%BCgyi%20eszk%C3%B6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2.deloitte.com/content/dam/Deloitte/hu/Documents/audit/hu-audit-advisory-IFRSinYourPocket-2014-HUN.PDF" TargetMode="External"/><Relationship Id="rId23" Type="http://schemas.openxmlformats.org/officeDocument/2006/relationships/hyperlink" Target="http://www.pwc.com/hu/hu/sajtoszoba/2015/zold_lampa_press.html" TargetMode="External"/><Relationship Id="rId10" Type="http://schemas.openxmlformats.org/officeDocument/2006/relationships/hyperlink" Target="http://exkss.com/devel/huHU/ifrskno/showtopicgroupview?topicName=P%C3%A9nz%C3%BCgyi%20k%C3%B6telezetts%C3%A9g" TargetMode="External"/><Relationship Id="rId19" Type="http://schemas.openxmlformats.org/officeDocument/2006/relationships/hyperlink" Target="http://www.ifrs.org/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frs.org/Current-Projects/IASB-Projects/Financial-Instruments-A-Replacement-of-IAS-39-Financial-Instruments-Recognitio/Impairment/Exposure-Draft-March-2013/Comment-letters/Documents/ED-Financial-Instruments-Expected-Credit-Losses-March-2013.pdf" TargetMode="External"/><Relationship Id="rId22" Type="http://schemas.openxmlformats.org/officeDocument/2006/relationships/hyperlink" Target="http://www.kpmg.com/HU/hu/IssuesAndInsights/ArticlesPublications/penzugyi-instrumentumok/Documents/P%C3%A9nz%C3%BCgyi%20instrumentumok%20%E2%80%93%20a%20k%C3%A9sz%20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17431-62D1-4267-9D06-E31C115E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52</Pages>
  <Words>10148</Words>
  <Characters>72461</Characters>
  <Application>Microsoft Office Word</Application>
  <DocSecurity>0</DocSecurity>
  <Lines>1081</Lines>
  <Paragraphs>163</Paragraphs>
  <ScaleCrop>false</ScaleCrop>
  <HeadingPairs>
    <vt:vector size="2" baseType="variant">
      <vt:variant>
        <vt:lpstr>Cím</vt:lpstr>
      </vt:variant>
      <vt:variant>
        <vt:i4>1</vt:i4>
      </vt:variant>
    </vt:vector>
  </HeadingPairs>
  <TitlesOfParts>
    <vt:vector size="1" baseType="lpstr">
      <vt:lpstr/>
    </vt:vector>
  </TitlesOfParts>
  <Company>Budapesti Corvinus Egyetem</Company>
  <LinksUpToDate>false</LinksUpToDate>
  <CharactersWithSpaces>82446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Corvinus</dc:creator>
  <cp:lastModifiedBy>Corvinus</cp:lastModifiedBy>
  <cp:revision>3</cp:revision>
  <dcterms:created xsi:type="dcterms:W3CDTF">2016-04-08T05:58:00Z</dcterms:created>
  <dcterms:modified xsi:type="dcterms:W3CDTF">2016-04-08T19:07:00Z</dcterms:modified>
</cp:coreProperties>
</file>